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contextualSpacing/>
        <w:jc w:val="center"/>
        <w:rPr>
          <w:b/>
          <w:bCs/>
        </w:rPr>
      </w:pPr>
      <w:bookmarkStart w:id="0" w:name="_Hlk184974985"/>
      <w:r>
        <w:rPr>
          <w:b/>
          <w:bCs/>
        </w:rPr>
        <w:t xml:space="preserve">Квоты на награждение локальными наградами работников КФУ в 2026 году </w:t>
      </w:r>
    </w:p>
    <w:p>
      <w:pPr>
        <w:contextualSpacing/>
        <w:jc w:val="center"/>
        <w:rPr>
          <w:b/>
          <w:bCs/>
        </w:rPr>
      </w:pPr>
      <w:proofErr w:type="gramStart"/>
      <w:r>
        <w:rPr>
          <w:b/>
          <w:bCs/>
        </w:rPr>
        <w:t xml:space="preserve">(выплаты при награждении Почетной грамотой ректора </w:t>
      </w:r>
      <w:proofErr w:type="gramEnd"/>
    </w:p>
    <w:p>
      <w:pPr>
        <w:contextualSpacing/>
        <w:jc w:val="center"/>
        <w:rPr>
          <w:b/>
          <w:bCs/>
          <w:u w:val="single"/>
        </w:rPr>
      </w:pPr>
      <w:r>
        <w:rPr>
          <w:b/>
          <w:bCs/>
          <w:u w:val="single"/>
        </w:rPr>
        <w:t>за счет средств КФУ, поступивших от приносящей доход деятельности структурного подразделения)</w:t>
      </w:r>
    </w:p>
    <w:p>
      <w:pPr>
        <w:contextualSpacing/>
        <w:jc w:val="center"/>
        <w:rPr>
          <w:b/>
          <w:bCs/>
        </w:rPr>
      </w:pPr>
    </w:p>
    <w:tbl>
      <w:tblPr>
        <w:tblStyle w:val="ab"/>
        <w:tblW w:w="14850" w:type="dxa"/>
        <w:tblInd w:w="-342" w:type="dxa"/>
        <w:tblLook w:val="04A0" w:firstRow="1" w:lastRow="0" w:firstColumn="1" w:lastColumn="0" w:noHBand="0" w:noVBand="1"/>
      </w:tblPr>
      <w:tblGrid>
        <w:gridCol w:w="2430"/>
        <w:gridCol w:w="7585"/>
        <w:gridCol w:w="1489"/>
        <w:gridCol w:w="3346"/>
      </w:tblGrid>
      <w:tr>
        <w:trPr>
          <w:trHeight w:val="20"/>
        </w:trPr>
        <w:tc>
          <w:tcPr>
            <w:tcW w:w="243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Курирующий проректор /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глав</w:t>
            </w:r>
            <w:proofErr w:type="gramStart"/>
            <w:r>
              <w:rPr>
                <w:b/>
                <w:bCs/>
              </w:rPr>
              <w:t>.</w:t>
            </w:r>
            <w:proofErr w:type="gram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в</w:t>
            </w:r>
            <w:proofErr w:type="gramEnd"/>
            <w:r>
              <w:rPr>
                <w:b/>
                <w:bCs/>
              </w:rPr>
              <w:t>рач МСЧ</w:t>
            </w:r>
          </w:p>
        </w:tc>
        <w:tc>
          <w:tcPr>
            <w:tcW w:w="7585" w:type="dxa"/>
            <w:vAlign w:val="center"/>
          </w:tcPr>
          <w:p>
            <w:pPr>
              <w:jc w:val="center"/>
              <w:rPr>
                <w:i/>
                <w:iCs/>
              </w:rPr>
            </w:pPr>
            <w:r>
              <w:rPr>
                <w:b/>
                <w:bCs/>
              </w:rPr>
              <w:t>Структурное подразделение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Почетная грамота ректора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Благодарность ректора,</w:t>
            </w:r>
          </w:p>
          <w:p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благодарственное письмо</w:t>
            </w:r>
          </w:p>
        </w:tc>
      </w:tr>
      <w:tr>
        <w:trPr>
          <w:trHeight w:val="20"/>
        </w:trPr>
        <w:tc>
          <w:tcPr>
            <w:tcW w:w="2430" w:type="dxa"/>
            <w:vMerge w:val="restart"/>
          </w:tcPr>
          <w:p>
            <w:r>
              <w:t>Турилова Е.А., проректор по образовательной деятельности</w:t>
            </w: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Елабужский институт (филиал)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16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вычислительной математики и информационных технологий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8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геологии и нефтегазовых технологий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дизайна и пространственных искусств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6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информационных технологий и интеллектуальных систем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4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 xml:space="preserve">Институт искусственного интеллекта, робототехники и системной инженерии 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математики и механики им. Н.И. Лобачевского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международных отношений, истории и востоковедения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9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23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психологии и образования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9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социально-философских наук и массовых коммуникаций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12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управления, экономики и финансов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17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физики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15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филологии и межкультурной коммуникации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9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22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фундаментальной медицины и биологии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32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Институт экологии, биотехнологии и природопользования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6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roofErr w:type="spellStart"/>
            <w:r>
              <w:t>Набережночелнинский</w:t>
            </w:r>
            <w:proofErr w:type="spellEnd"/>
            <w:r>
              <w:t xml:space="preserve"> институт (филиал)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30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</w:tcPr>
          <w:p>
            <w:r>
              <w:t>Специализированная общеобразовательная школа-интернат «Лицей имени Н.И. Лобачевского»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4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</w:tcPr>
          <w:p>
            <w:r>
              <w:t xml:space="preserve">Специализированный учебный научный центр – </w:t>
            </w:r>
            <w:r>
              <w:lastRenderedPageBreak/>
              <w:t>общеобразовательная школа-интернат «IT-лицей КФУ»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lastRenderedPageBreak/>
              <w:t>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5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</w:tcPr>
          <w:p>
            <w:r>
              <w:t>Специальный (коррекционный) детский сад для детей с расстройствами аутистического спектра «МЫ ВМЕСТЕ»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Химический институт им. А.М. Бутлерова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10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>
            <w:pPr>
              <w:jc w:val="center"/>
            </w:pPr>
          </w:p>
        </w:tc>
        <w:tc>
          <w:tcPr>
            <w:tcW w:w="7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r>
              <w:t>Юридический факультет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</w:t>
            </w:r>
          </w:p>
        </w:tc>
      </w:tr>
      <w:tr>
        <w:trPr>
          <w:trHeight w:val="20"/>
        </w:trPr>
        <w:tc>
          <w:tcPr>
            <w:tcW w:w="2430" w:type="dxa"/>
          </w:tcPr>
          <w:p>
            <w:proofErr w:type="spellStart"/>
            <w:r>
              <w:t>Алишев</w:t>
            </w:r>
            <w:proofErr w:type="spellEnd"/>
            <w:r>
              <w:t xml:space="preserve"> Т.Б., проректор по внешним связям</w:t>
            </w:r>
          </w:p>
        </w:tc>
        <w:tc>
          <w:tcPr>
            <w:tcW w:w="7585" w:type="dxa"/>
          </w:tcPr>
          <w:p>
            <w:r>
              <w:t>Подготовительный факультет для иностранных учащихся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4</w:t>
            </w:r>
          </w:p>
        </w:tc>
      </w:tr>
      <w:tr>
        <w:trPr>
          <w:trHeight w:val="20"/>
        </w:trPr>
        <w:tc>
          <w:tcPr>
            <w:tcW w:w="2430" w:type="dxa"/>
          </w:tcPr>
          <w:p>
            <w:r>
              <w:t>Таюрский Д.А., первый проректор – проректор по научной деятельности</w:t>
            </w:r>
          </w:p>
        </w:tc>
        <w:tc>
          <w:tcPr>
            <w:tcW w:w="7585" w:type="dxa"/>
          </w:tcPr>
          <w:p>
            <w:r>
              <w:t>НОЦ фармацевтики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</w:tr>
      <w:tr>
        <w:trPr>
          <w:trHeight w:val="20"/>
        </w:trPr>
        <w:tc>
          <w:tcPr>
            <w:tcW w:w="2430" w:type="dxa"/>
            <w:vMerge w:val="restart"/>
          </w:tcPr>
          <w:p>
            <w:r>
              <w:t>Хайруллин И.А., проректор по дополнительному образованию</w:t>
            </w:r>
          </w:p>
        </w:tc>
        <w:tc>
          <w:tcPr>
            <w:tcW w:w="7585" w:type="dxa"/>
          </w:tcPr>
          <w:p>
            <w:r>
              <w:t>Высшая школа государственного и муниципального управления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</w:tr>
      <w:tr>
        <w:trPr>
          <w:trHeight w:val="20"/>
        </w:trPr>
        <w:tc>
          <w:tcPr>
            <w:tcW w:w="2430" w:type="dxa"/>
            <w:vMerge/>
          </w:tcPr>
          <w:p/>
        </w:tc>
        <w:tc>
          <w:tcPr>
            <w:tcW w:w="7585" w:type="dxa"/>
          </w:tcPr>
          <w:p>
            <w:r>
              <w:t>Высшая школа педагогического мастерства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</w:t>
            </w:r>
          </w:p>
        </w:tc>
      </w:tr>
      <w:tr>
        <w:trPr>
          <w:trHeight w:val="20"/>
        </w:trPr>
        <w:tc>
          <w:tcPr>
            <w:tcW w:w="2430" w:type="dxa"/>
          </w:tcPr>
          <w:p>
            <w:proofErr w:type="spellStart"/>
            <w:r>
              <w:t>Шигабутдинов</w:t>
            </w:r>
            <w:proofErr w:type="spellEnd"/>
            <w:r>
              <w:t xml:space="preserve"> Р.Р., глав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>рач МСЧ</w:t>
            </w:r>
          </w:p>
        </w:tc>
        <w:tc>
          <w:tcPr>
            <w:tcW w:w="7585" w:type="dxa"/>
          </w:tcPr>
          <w:p>
            <w:r>
              <w:t>Медико-санитарная часть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29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71</w:t>
            </w:r>
          </w:p>
        </w:tc>
      </w:tr>
    </w:tbl>
    <w:p>
      <w:pPr>
        <w:contextualSpacing/>
        <w:jc w:val="center"/>
        <w:rPr>
          <w:b/>
          <w:bCs/>
        </w:rPr>
      </w:pPr>
      <w:bookmarkStart w:id="1" w:name="_Hlk155682177"/>
      <w:bookmarkEnd w:id="0"/>
    </w:p>
    <w:p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>
      <w:pPr>
        <w:contextualSpacing/>
        <w:jc w:val="center"/>
        <w:rPr>
          <w:b/>
          <w:bCs/>
        </w:rPr>
      </w:pPr>
      <w:r>
        <w:rPr>
          <w:b/>
          <w:bCs/>
        </w:rPr>
        <w:lastRenderedPageBreak/>
        <w:t xml:space="preserve">Квоты на награждение локальными наградами работников КФУ в 2026 году </w:t>
      </w:r>
    </w:p>
    <w:p>
      <w:pPr>
        <w:contextualSpacing/>
        <w:jc w:val="center"/>
        <w:rPr>
          <w:b/>
          <w:bCs/>
        </w:rPr>
      </w:pPr>
      <w:r>
        <w:rPr>
          <w:b/>
          <w:bCs/>
        </w:rPr>
        <w:t xml:space="preserve">(выплаты </w:t>
      </w:r>
      <w:bookmarkStart w:id="2" w:name="_Hlk184975058"/>
      <w:r>
        <w:rPr>
          <w:b/>
          <w:bCs/>
        </w:rPr>
        <w:t>при награждении Почетной грамотой ректора</w:t>
      </w:r>
      <w:bookmarkStart w:id="3" w:name="_GoBack"/>
      <w:r>
        <w:rPr>
          <w:b/>
          <w:bCs/>
        </w:rPr>
        <w:t xml:space="preserve"> </w:t>
      </w:r>
      <w:bookmarkEnd w:id="2"/>
      <w:r>
        <w:rPr>
          <w:b/>
          <w:bCs/>
          <w:u w:val="single"/>
        </w:rPr>
        <w:t>за счет средств КФУ</w:t>
      </w:r>
      <w:r>
        <w:rPr>
          <w:b/>
          <w:bCs/>
        </w:rPr>
        <w:t>)</w:t>
      </w:r>
    </w:p>
    <w:bookmarkEnd w:id="3"/>
    <w:p>
      <w:pPr>
        <w:contextualSpacing/>
        <w:jc w:val="center"/>
        <w:rPr>
          <w:b/>
          <w:bCs/>
        </w:rPr>
      </w:pPr>
    </w:p>
    <w:tbl>
      <w:tblPr>
        <w:tblStyle w:val="1"/>
        <w:tblW w:w="144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263"/>
        <w:gridCol w:w="7499"/>
        <w:gridCol w:w="1454"/>
        <w:gridCol w:w="2268"/>
      </w:tblGrid>
      <w:tr>
        <w:trPr>
          <w:trHeight w:val="20"/>
        </w:trPr>
        <w:tc>
          <w:tcPr>
            <w:tcW w:w="3263" w:type="dxa"/>
            <w:tcBorders>
              <w:top w:val="single" w:sz="4" w:space="0" w:color="auto"/>
            </w:tcBorders>
            <w:noWrap/>
            <w:hideMark/>
          </w:tcPr>
          <w:p>
            <w:pPr>
              <w:jc w:val="center"/>
              <w:rPr>
                <w:b/>
                <w:bCs/>
              </w:rPr>
            </w:pPr>
            <w:bookmarkStart w:id="4" w:name="_Hlk156815762"/>
            <w:bookmarkEnd w:id="1"/>
            <w:r>
              <w:rPr>
                <w:b/>
                <w:bCs/>
              </w:rPr>
              <w:t>Курирующий проректор</w:t>
            </w:r>
          </w:p>
        </w:tc>
        <w:tc>
          <w:tcPr>
            <w:tcW w:w="7499" w:type="dxa"/>
            <w:tcBorders>
              <w:top w:val="single" w:sz="4" w:space="0" w:color="auto"/>
            </w:tcBorders>
            <w:noWrap/>
            <w:hideMark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Структурное подразделение КФУ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</w:rPr>
              <w:t>Почетная грамота ректора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Благодарность ректора,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</w:rPr>
              <w:t>благодарственное письмо</w:t>
            </w:r>
          </w:p>
        </w:tc>
      </w:tr>
      <w:tr>
        <w:trPr>
          <w:trHeight w:val="20"/>
        </w:trPr>
        <w:tc>
          <w:tcPr>
            <w:tcW w:w="3263" w:type="dxa"/>
            <w:hideMark/>
          </w:tcPr>
          <w:p>
            <w:proofErr w:type="spellStart"/>
            <w:r>
              <w:t>Алишев</w:t>
            </w:r>
            <w:proofErr w:type="spellEnd"/>
            <w:r>
              <w:t xml:space="preserve"> Т.Б., проректор по внешним связям</w:t>
            </w:r>
          </w:p>
        </w:tc>
        <w:tc>
          <w:tcPr>
            <w:tcW w:w="7499" w:type="dxa"/>
            <w:noWrap/>
            <w:hideMark/>
          </w:tcPr>
          <w:p>
            <w:r>
              <w:t>Департамент внешних связей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proofErr w:type="spellStart"/>
            <w:r>
              <w:t>Газизуллин</w:t>
            </w:r>
            <w:proofErr w:type="spellEnd"/>
            <w:r>
              <w:t xml:space="preserve"> Р.И., проректор по финансовой деятельности</w:t>
            </w:r>
          </w:p>
        </w:tc>
        <w:tc>
          <w:tcPr>
            <w:tcW w:w="7499" w:type="dxa"/>
            <w:noWrap/>
          </w:tcPr>
          <w:p>
            <w:r>
              <w:t>Департамент бухгалтерского учета и отчетности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</w:tcPr>
          <w:p>
            <w:r>
              <w:t>Департамент экономики и финансов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</w:tcPr>
          <w:p>
            <w:r>
              <w:t>Отдел аудита и внутреннего контроля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  <w:hideMark/>
          </w:tcPr>
          <w:p>
            <w:r>
              <w:t>Отдел правового обеспечения закупок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  <w:hideMark/>
          </w:tcPr>
          <w:p>
            <w:r>
              <w:t>Управление труда и заработной платы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proofErr w:type="spellStart"/>
            <w:r>
              <w:t>Гузейров</w:t>
            </w:r>
            <w:proofErr w:type="spellEnd"/>
            <w:r>
              <w:t xml:space="preserve"> Р.А., проректор по комплексной безопасности</w:t>
            </w:r>
          </w:p>
        </w:tc>
        <w:tc>
          <w:tcPr>
            <w:tcW w:w="7499" w:type="dxa"/>
            <w:noWrap/>
            <w:hideMark/>
          </w:tcPr>
          <w:p>
            <w:r>
              <w:t>1 отдел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Департамент комплексной безопасности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  <w:hideMark/>
          </w:tcPr>
          <w:p>
            <w:r>
              <w:t>Координационный центр по вопросам формирования у молодежи активной гражданской позиции, предупреждения межнациональных и межконфессиональных конфликтов, противодействия идеологии терроризма и профилактики экстремизма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  <w:hideMark/>
          </w:tcPr>
          <w:p>
            <w:r>
              <w:t>Отдел мобилизационной подготовки и воинского учета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noWrap/>
            <w:hideMark/>
          </w:tcPr>
          <w:p>
            <w:proofErr w:type="spellStart"/>
            <w:r>
              <w:t>Межведилов</w:t>
            </w:r>
            <w:proofErr w:type="spellEnd"/>
            <w:r>
              <w:t xml:space="preserve"> А.М., проректор по молодежной политике и воспитательной деятельности</w:t>
            </w:r>
          </w:p>
        </w:tc>
        <w:tc>
          <w:tcPr>
            <w:tcW w:w="7499" w:type="dxa"/>
            <w:noWrap/>
            <w:hideMark/>
          </w:tcPr>
          <w:p>
            <w:r>
              <w:t>Департамент по молодежной политике, социальным вопросам и развитию системы физкультурно-спортивного воспитания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r>
              <w:t xml:space="preserve">Пашин Д.М., проректор по цифровой трансформации и инновационной </w:t>
            </w:r>
            <w:r>
              <w:lastRenderedPageBreak/>
              <w:t>деятельности</w:t>
            </w:r>
          </w:p>
        </w:tc>
        <w:tc>
          <w:tcPr>
            <w:tcW w:w="7499" w:type="dxa"/>
            <w:noWrap/>
          </w:tcPr>
          <w:p>
            <w:r>
              <w:lastRenderedPageBreak/>
              <w:t>Департамент информатизации и связи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</w:tcPr>
          <w:p>
            <w:r>
              <w:t>Инновационно-технологический центр «Технопарк КФУ»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Служба информационной безопасности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noWrap/>
            <w:hideMark/>
          </w:tcPr>
          <w:p>
            <w:r>
              <w:t>Управление инновационного развития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Технологический парк «Малотоннажные химические технологии» КФУ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</w:tcPr>
          <w:p>
            <w:r>
              <w:lastRenderedPageBreak/>
              <w:t>Прохоров С.Ю., проректор по административной работе – руководитель аппарата</w:t>
            </w:r>
          </w:p>
        </w:tc>
        <w:tc>
          <w:tcPr>
            <w:tcW w:w="7499" w:type="dxa"/>
            <w:noWrap/>
          </w:tcPr>
          <w:p>
            <w:r>
              <w:t>Департамент по информационной политике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Дирекция музеев КФУ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Пресс-служба ректора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Ректорат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Управление документооборота и контроля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noWrap/>
          </w:tcPr>
          <w:p>
            <w:r>
              <w:t>Управление кадров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r>
              <w:t xml:space="preserve">Сафиуллин М.Р., проректор по вопросам экономического и стратегического развития </w:t>
            </w:r>
          </w:p>
        </w:tc>
        <w:tc>
          <w:tcPr>
            <w:tcW w:w="7499" w:type="dxa"/>
            <w:tcBorders>
              <w:bottom w:val="single" w:sz="4" w:space="0" w:color="auto"/>
            </w:tcBorders>
            <w:noWrap/>
            <w:hideMark/>
          </w:tcPr>
          <w:p>
            <w:pPr>
              <w:rPr>
                <w:strike/>
              </w:rPr>
            </w:pPr>
            <w:r>
              <w:t>Центр перспективного развития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bottom w:val="single" w:sz="4" w:space="0" w:color="auto"/>
            </w:tcBorders>
            <w:noWrap/>
          </w:tcPr>
          <w:p>
            <w:r>
              <w:t>Центр стратегических оценок и прогнозов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r>
              <w:t xml:space="preserve">Таюрский Д.А., </w:t>
            </w:r>
          </w:p>
          <w:p>
            <w:r>
              <w:t>первый проректор – проректор по научной деятельности</w:t>
            </w:r>
          </w:p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Междисциплинарный центр «Аналитическая микроскопия»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</w:pPr>
            <w:r>
              <w:t>11</w:t>
            </w: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Научная библиотека им. Н.И. Лобачевского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Научно-образовательный центр «Газпромнефть – КФУ»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 xml:space="preserve">Научно-экспертная лаборатория экспертиз </w:t>
            </w:r>
            <w:proofErr w:type="spellStart"/>
            <w:r>
              <w:t>социогуманитарного</w:t>
            </w:r>
            <w:proofErr w:type="spellEnd"/>
            <w:r>
              <w:t xml:space="preserve"> профиля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Научно-исследовательская лаборатория «Космические источники рентгеновского излучения»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Научно-исследовательская лаборатория «Материалы для «зеленой» энергетики и жизнеобеспечения»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Научно-исследовательская лаборатория «Синтетические полимерные материалы и композиты»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Научно-образовательный центр по исследованию проблем развития рыночных отношений в условиях глобализации мировой экономики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Объединенная редакция журналов «Ученые записки Казанского университета»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 xml:space="preserve">Объединенная редакция журналов LJM, ЭБ и </w:t>
            </w:r>
            <w:proofErr w:type="spellStart"/>
            <w:r>
              <w:t>MRSej</w:t>
            </w:r>
            <w:proofErr w:type="spellEnd"/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Отдел аспирантуры и докторантуры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Отдел аттестации научно-педагогических кадров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Редакция журнала «Известия ВУЗов. Математика»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>
            <w:r>
              <w:t>Управление научно-исследовательской деятельности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r>
              <w:t>Турилова Е.А., проректор по образовательной деятельности</w:t>
            </w:r>
          </w:p>
        </w:tc>
        <w:tc>
          <w:tcPr>
            <w:tcW w:w="7499" w:type="dxa"/>
            <w:tcBorders>
              <w:top w:val="single" w:sz="4" w:space="0" w:color="auto"/>
            </w:tcBorders>
            <w:noWrap/>
          </w:tcPr>
          <w:p>
            <w:r>
              <w:t xml:space="preserve">Департамент образования 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</w:pPr>
            <w:r>
              <w:t>7</w:t>
            </w: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bottom w:val="single" w:sz="4" w:space="0" w:color="auto"/>
            </w:tcBorders>
            <w:noWrap/>
          </w:tcPr>
          <w:p>
            <w:r>
              <w:t>Общеуниверситетская кафедра физического воспитания и спорта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</w:tcPr>
          <w:p>
            <w:r>
              <w:t>Хайруллин И.А., проректор по дополнительному образованию</w:t>
            </w:r>
          </w:p>
        </w:tc>
        <w:tc>
          <w:tcPr>
            <w:tcW w:w="7499" w:type="dxa"/>
            <w:noWrap/>
          </w:tcPr>
          <w:p>
            <w:r>
              <w:t>Департамент развития дополнительного образования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bottom w:val="single" w:sz="4" w:space="0" w:color="auto"/>
            </w:tcBorders>
            <w:noWrap/>
          </w:tcPr>
          <w:p>
            <w:r>
              <w:t>Учебно-методический центр тестирования и подготовки к ЕГЭ и ГИА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bottom w:val="single" w:sz="4" w:space="0" w:color="auto"/>
            </w:tcBorders>
            <w:noWrap/>
          </w:tcPr>
          <w:p>
            <w:r>
              <w:t>Учебный центр «Центр развития цифровых компетенций»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bottom w:val="single" w:sz="4" w:space="0" w:color="auto"/>
            </w:tcBorders>
            <w:noWrap/>
          </w:tcPr>
          <w:p>
            <w:pPr>
              <w:rPr>
                <w:highlight w:val="yellow"/>
              </w:rPr>
            </w:pPr>
            <w:r>
              <w:t>Центр карьеры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tcBorders>
              <w:bottom w:val="single" w:sz="4" w:space="0" w:color="auto"/>
            </w:tcBorders>
          </w:tcPr>
          <w:p/>
        </w:tc>
        <w:tc>
          <w:tcPr>
            <w:tcW w:w="7499" w:type="dxa"/>
            <w:tcBorders>
              <w:bottom w:val="single" w:sz="4" w:space="0" w:color="auto"/>
            </w:tcBorders>
            <w:shd w:val="clear" w:color="auto" w:fill="auto"/>
            <w:noWrap/>
          </w:tcPr>
          <w:p>
            <w:r>
              <w:t>Центр по работе с одаренными школьниками</w:t>
            </w:r>
          </w:p>
        </w:tc>
        <w:tc>
          <w:tcPr>
            <w:tcW w:w="1454" w:type="dxa"/>
            <w:vMerge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  <w:hideMark/>
          </w:tcPr>
          <w:p>
            <w:bookmarkStart w:id="5" w:name="_Hlk150246647"/>
            <w:proofErr w:type="spellStart"/>
            <w:r>
              <w:t>Халиков</w:t>
            </w:r>
            <w:proofErr w:type="spellEnd"/>
            <w:r>
              <w:t xml:space="preserve"> А.А, </w:t>
            </w:r>
          </w:p>
          <w:p>
            <w:r>
              <w:t>проректор по хозяйственной деятельности</w:t>
            </w:r>
            <w:bookmarkEnd w:id="5"/>
          </w:p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Дирекция социально-спортивных объектов КФУ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Комбинат общественного питания и торговли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Отдел главного эколога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Отдел материально-технического снабжения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Отдел подготовки технической документации, капитального строительства и ремонта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Служба главного инженера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Студенческий городок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Управление по хозяйственной деятельности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/>
            <w:hideMark/>
          </w:tcPr>
          <w:p/>
        </w:tc>
        <w:tc>
          <w:tcPr>
            <w:tcW w:w="7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>
            <w:r>
              <w:t>Учебно-эксплуатационный центр автомобильного транспорта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  <w:highlight w:val="yellow"/>
              </w:rPr>
            </w:pPr>
          </w:p>
        </w:tc>
      </w:tr>
      <w:tr>
        <w:trPr>
          <w:trHeight w:val="20"/>
        </w:trPr>
        <w:tc>
          <w:tcPr>
            <w:tcW w:w="3263" w:type="dxa"/>
            <w:vMerge w:val="restart"/>
          </w:tcPr>
          <w:p>
            <w:proofErr w:type="spellStart"/>
            <w:r>
              <w:t>Хамидуллина</w:t>
            </w:r>
            <w:proofErr w:type="spellEnd"/>
            <w:r>
              <w:t xml:space="preserve"> Ф.И., проректор по правовой работе и имущественным отношениям</w:t>
            </w:r>
          </w:p>
        </w:tc>
        <w:tc>
          <w:tcPr>
            <w:tcW w:w="749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>
            <w:r>
              <w:t>Земельно-имущественное управление</w:t>
            </w:r>
          </w:p>
        </w:tc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  <w:tr>
        <w:trPr>
          <w:trHeight w:val="20"/>
        </w:trPr>
        <w:tc>
          <w:tcPr>
            <w:tcW w:w="3263" w:type="dxa"/>
            <w:vMerge/>
          </w:tcPr>
          <w:p/>
        </w:tc>
        <w:tc>
          <w:tcPr>
            <w:tcW w:w="749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>
            <w:r>
              <w:t>Правовое управление</w:t>
            </w:r>
          </w:p>
        </w:tc>
        <w:tc>
          <w:tcPr>
            <w:tcW w:w="1454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bookmarkEnd w:id="4"/>
    </w:tbl>
    <w:p/>
    <w:p/>
    <w:p>
      <w:pPr>
        <w:contextualSpacing/>
        <w:jc w:val="center"/>
        <w:rPr>
          <w:b/>
          <w:bCs/>
        </w:rPr>
      </w:pPr>
      <w:r>
        <w:rPr>
          <w:b/>
          <w:bCs/>
        </w:rPr>
        <w:lastRenderedPageBreak/>
        <w:t xml:space="preserve">Квоты на награждение локальными наградами работников КФУ в 2026 году </w:t>
      </w:r>
    </w:p>
    <w:p>
      <w:pPr>
        <w:contextualSpacing/>
        <w:jc w:val="center"/>
        <w:rPr>
          <w:b/>
          <w:bCs/>
        </w:rPr>
      </w:pPr>
      <w:r>
        <w:rPr>
          <w:b/>
          <w:bCs/>
        </w:rPr>
        <w:t>(</w:t>
      </w:r>
      <w:r>
        <w:rPr>
          <w:b/>
          <w:bCs/>
          <w:u w:val="single"/>
        </w:rPr>
        <w:t>без выплаты</w:t>
      </w:r>
      <w:r>
        <w:rPr>
          <w:b/>
          <w:bCs/>
        </w:rPr>
        <w:t xml:space="preserve"> при награждении Почетной грамотой ректора)</w:t>
      </w:r>
    </w:p>
    <w:p/>
    <w:tbl>
      <w:tblPr>
        <w:tblStyle w:val="1"/>
        <w:tblW w:w="1445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443"/>
        <w:gridCol w:w="6662"/>
        <w:gridCol w:w="1843"/>
        <w:gridCol w:w="2504"/>
      </w:tblGrid>
      <w:tr>
        <w:trPr>
          <w:trHeight w:val="711"/>
        </w:trPr>
        <w:tc>
          <w:tcPr>
            <w:tcW w:w="3443" w:type="dxa"/>
            <w:tcBorders>
              <w:top w:val="single" w:sz="4" w:space="0" w:color="auto"/>
            </w:tcBorders>
            <w:noWrap/>
            <w:hideMark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Курирующий проректор</w:t>
            </w:r>
          </w:p>
        </w:tc>
        <w:tc>
          <w:tcPr>
            <w:tcW w:w="666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Структурное подразделение</w:t>
            </w:r>
          </w:p>
          <w:p>
            <w:pPr>
              <w:jc w:val="center"/>
              <w:rPr>
                <w:i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</w:rPr>
              <w:t>Почетная грамота ректора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Благодарность ректора,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</w:rPr>
              <w:t>благодарственное письмо</w:t>
            </w:r>
          </w:p>
        </w:tc>
      </w:tr>
      <w:tr>
        <w:trPr>
          <w:trHeight w:val="119"/>
        </w:trPr>
        <w:tc>
          <w:tcPr>
            <w:tcW w:w="3443" w:type="dxa"/>
            <w:hideMark/>
          </w:tcPr>
          <w:p>
            <w:proofErr w:type="spellStart"/>
            <w:r>
              <w:t>Алишев</w:t>
            </w:r>
            <w:proofErr w:type="spellEnd"/>
            <w:r>
              <w:t xml:space="preserve"> Т.Б., проректор по внешним связям 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noWrap/>
            <w:hideMark/>
          </w:tcPr>
          <w:p>
            <w:r>
              <w:t>Филиал КФУ в г. Джизаке Республики Узбекистан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504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>
      <w:pPr>
        <w:jc w:val="both"/>
      </w:pPr>
    </w:p>
    <w:p>
      <w:pPr>
        <w:jc w:val="both"/>
      </w:pPr>
    </w:p>
    <w:p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Примечание:</w:t>
      </w:r>
    </w:p>
    <w:p>
      <w:pPr>
        <w:jc w:val="both"/>
      </w:pPr>
      <w:r>
        <w:t>Принцип распределения квот на локальные награды КФУ на 2026 год приведен в таблице:</w:t>
      </w:r>
    </w:p>
    <w:p>
      <w:pPr>
        <w:jc w:val="both"/>
      </w:pPr>
    </w:p>
    <w:tbl>
      <w:tblPr>
        <w:tblStyle w:val="ab"/>
        <w:tblW w:w="14531" w:type="dxa"/>
        <w:tblInd w:w="0" w:type="dxa"/>
        <w:tblLook w:val="04A0" w:firstRow="1" w:lastRow="0" w:firstColumn="1" w:lastColumn="0" w:noHBand="0" w:noVBand="1"/>
      </w:tblPr>
      <w:tblGrid>
        <w:gridCol w:w="3168"/>
        <w:gridCol w:w="6930"/>
        <w:gridCol w:w="4433"/>
      </w:tblGrid>
      <w:t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</w:pPr>
            <w:bookmarkStart w:id="6" w:name="_Hlk153897503"/>
            <w:r>
              <w:t>Вид награды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</w:pPr>
            <w:r>
              <w:t xml:space="preserve">Численность основных </w:t>
            </w:r>
            <w:bookmarkStart w:id="7" w:name="_Hlk122702222"/>
            <w:r>
              <w:t>структурных подразделений</w:t>
            </w:r>
            <w:bookmarkEnd w:id="7"/>
            <w:r>
              <w:t>/</w:t>
            </w:r>
          </w:p>
          <w:p>
            <w:pPr>
              <w:jc w:val="center"/>
            </w:pPr>
            <w:r>
              <w:t>совокупная численность структурных подразделений, закрепленных за курируемыми проректорами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</w:pPr>
            <w:r>
              <w:t>Квота</w:t>
            </w:r>
          </w:p>
        </w:tc>
      </w:tr>
      <w:tr>
        <w:tc>
          <w:tcPr>
            <w:tcW w:w="3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bookmarkStart w:id="8" w:name="_Hlk121396277"/>
            <w:r>
              <w:t>Почетная грамота ректора КФУ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до 50 основных работников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1 награда</w:t>
            </w:r>
          </w:p>
        </w:tc>
      </w:tr>
      <w:tr>
        <w:tc>
          <w:tcPr>
            <w:tcW w:w="3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bookmarkStart w:id="9" w:name="_Hlk121396328" w:colFirst="1" w:colLast="2"/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050"/>
              </w:tabs>
            </w:pPr>
            <w:r>
              <w:t>более 50 основных работников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по 1 награде дополнительно на каждые 50* основных работников</w:t>
            </w:r>
          </w:p>
        </w:tc>
        <w:bookmarkEnd w:id="8"/>
      </w:tr>
      <w:bookmarkEnd w:id="9"/>
      <w:tr>
        <w:tc>
          <w:tcPr>
            <w:tcW w:w="3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Благодарность ректора КФУ, благодарственное письмо КФУ</w:t>
            </w:r>
          </w:p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050"/>
              </w:tabs>
            </w:pPr>
            <w:r>
              <w:t>до 20 основных работников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1 награда</w:t>
            </w:r>
          </w:p>
        </w:tc>
      </w:tr>
      <w:tr>
        <w:tc>
          <w:tcPr>
            <w:tcW w:w="3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/>
        </w:tc>
        <w:tc>
          <w:tcPr>
            <w:tcW w:w="6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050"/>
              </w:tabs>
            </w:pPr>
            <w:r>
              <w:t>более 20 основных работников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r>
              <w:t>по 1 награде дополнительно на каждые 20* основных работников</w:t>
            </w:r>
          </w:p>
        </w:tc>
      </w:tr>
      <w:bookmarkEnd w:id="6"/>
    </w:tbl>
    <w:p>
      <w:pPr>
        <w:jc w:val="both"/>
      </w:pPr>
    </w:p>
    <w:p>
      <w:pPr>
        <w:jc w:val="both"/>
      </w:pPr>
      <w:r>
        <w:t>*Допускается округление в большую сторону от половины приведенной численности</w:t>
      </w:r>
    </w:p>
    <w:sectPr>
      <w:pgSz w:w="16838" w:h="11906" w:orient="landscape"/>
      <w:pgMar w:top="993" w:right="850" w:bottom="720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17ACB"/>
    <w:multiLevelType w:val="multilevel"/>
    <w:tmpl w:val="A4B2B998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  <w:b w:val="0"/>
      </w:rPr>
    </w:lvl>
  </w:abstractNum>
  <w:abstractNum w:abstractNumId="1">
    <w:nsid w:val="45104448"/>
    <w:multiLevelType w:val="hybridMultilevel"/>
    <w:tmpl w:val="A3022074"/>
    <w:lvl w:ilvl="0" w:tplc="1DD4C6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70E54EA6"/>
    <w:multiLevelType w:val="hybridMultilevel"/>
    <w:tmpl w:val="B37AEEFA"/>
    <w:lvl w:ilvl="0" w:tplc="B03EB54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22"/>
      <w:szCs w:val="22"/>
    </w:rPr>
  </w:style>
  <w:style w:type="paragraph" w:styleId="a6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22"/>
      <w:szCs w:val="22"/>
    </w:rPr>
  </w:style>
  <w:style w:type="paragraph" w:styleId="a6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header"/>
    <w:basedOn w:val="a"/>
    <w:link w:val="a8"/>
    <w:uiPriority w:val="99"/>
    <w:unhideWhenUsed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b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9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2795C-3D27-412B-9116-3BB233D5E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6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Хаерова Юлия Геннадьевна</cp:lastModifiedBy>
  <cp:revision>101</cp:revision>
  <cp:lastPrinted>2025-12-09T13:01:00Z</cp:lastPrinted>
  <dcterms:created xsi:type="dcterms:W3CDTF">2025-01-13T13:37:00Z</dcterms:created>
  <dcterms:modified xsi:type="dcterms:W3CDTF">2025-12-10T12:52:00Z</dcterms:modified>
</cp:coreProperties>
</file>