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678"/>
      </w:tblGrid>
      <w:tr w:rsidR="00624748" w:rsidTr="005D7EA7">
        <w:trPr>
          <w:trHeight w:val="2340"/>
        </w:trPr>
        <w:tc>
          <w:tcPr>
            <w:tcW w:w="4820" w:type="dxa"/>
            <w:shd w:val="clear" w:color="auto" w:fill="E36C0A" w:themeFill="accent6" w:themeFillShade="BF"/>
            <w:vAlign w:val="center"/>
          </w:tcPr>
          <w:p w:rsidR="00624748" w:rsidRPr="00624748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color w:val="FFFFFF" w:themeColor="background1"/>
                <w:spacing w:val="8"/>
                <w:sz w:val="32"/>
                <w:szCs w:val="32"/>
              </w:rPr>
            </w:pPr>
            <w:bookmarkStart w:id="0" w:name="_GoBack"/>
            <w:r w:rsidRPr="00624748">
              <w:rPr>
                <w:rFonts w:ascii="PT Sans" w:hAnsi="PT Sans"/>
                <w:color w:val="FFFFFF" w:themeColor="background1"/>
                <w:spacing w:val="8"/>
                <w:sz w:val="32"/>
                <w:szCs w:val="32"/>
              </w:rPr>
              <w:t>НАПРАВЛЕНИЕ  ПОДГОТОВКИ</w:t>
            </w:r>
          </w:p>
          <w:p w:rsidR="00624748" w:rsidRPr="003B78A0" w:rsidRDefault="00624748" w:rsidP="00624748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  <w:b/>
                <w:sz w:val="26"/>
                <w:szCs w:val="26"/>
              </w:rPr>
            </w:pPr>
            <w:r w:rsidRPr="00624748">
              <w:rPr>
                <w:rFonts w:ascii="PT Sans" w:hAnsi="PT Sans"/>
                <w:color w:val="FFFFFF" w:themeColor="background1"/>
                <w:sz w:val="32"/>
                <w:szCs w:val="32"/>
              </w:rPr>
              <w:t xml:space="preserve">38.03.02 «Менеджмент», </w:t>
            </w:r>
            <w:r w:rsidRPr="00624748">
              <w:rPr>
                <w:rFonts w:ascii="PT Sans" w:hAnsi="PT Sans"/>
                <w:color w:val="FFFFFF" w:themeColor="background1"/>
                <w:sz w:val="32"/>
                <w:szCs w:val="32"/>
              </w:rPr>
              <w:br/>
              <w:t xml:space="preserve">профиль </w:t>
            </w:r>
            <w:r w:rsidRPr="00624748">
              <w:rPr>
                <w:rFonts w:ascii="PT Sans" w:hAnsi="PT Sans"/>
                <w:b/>
                <w:color w:val="FFFFFF" w:themeColor="background1"/>
                <w:sz w:val="32"/>
                <w:szCs w:val="32"/>
              </w:rPr>
              <w:t xml:space="preserve">«БИЗНЕС-АНАЛИТИКА </w:t>
            </w:r>
            <w:r>
              <w:rPr>
                <w:rFonts w:ascii="PT Sans" w:hAnsi="PT Sans"/>
                <w:b/>
                <w:color w:val="FFFFFF" w:themeColor="background1"/>
                <w:sz w:val="32"/>
                <w:szCs w:val="32"/>
              </w:rPr>
              <w:br/>
            </w:r>
            <w:r w:rsidRPr="00624748">
              <w:rPr>
                <w:rFonts w:ascii="PT Sans" w:hAnsi="PT Sans"/>
                <w:b/>
                <w:color w:val="FFFFFF" w:themeColor="background1"/>
                <w:sz w:val="32"/>
                <w:szCs w:val="32"/>
              </w:rPr>
              <w:t>В УПРАВЛЕНЧЕСКОЙ ДЕЯТЕЛЬНОСТИ»</w:t>
            </w:r>
          </w:p>
        </w:tc>
        <w:tc>
          <w:tcPr>
            <w:tcW w:w="425" w:type="dxa"/>
          </w:tcPr>
          <w:p w:rsidR="00624748" w:rsidRPr="003B78A0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24748" w:rsidRPr="008142BB" w:rsidRDefault="00624748" w:rsidP="008142BB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left"/>
              <w:rPr>
                <w:rFonts w:ascii="PT Sans" w:hAnsi="PT Sans"/>
                <w:sz w:val="20"/>
                <w:szCs w:val="20"/>
              </w:rPr>
            </w:pPr>
            <w:r w:rsidRPr="008142BB">
              <w:rPr>
                <w:rFonts w:ascii="PT Sans" w:hAnsi="PT Sans"/>
                <w:sz w:val="20"/>
                <w:szCs w:val="20"/>
              </w:rPr>
              <w:t xml:space="preserve">Выпускающая кафедра – инноваций </w:t>
            </w:r>
            <w:r w:rsidRPr="008142BB">
              <w:rPr>
                <w:rFonts w:ascii="PT Sans" w:hAnsi="PT Sans"/>
                <w:sz w:val="20"/>
                <w:szCs w:val="20"/>
              </w:rPr>
              <w:br/>
              <w:t xml:space="preserve">и инвестиций. </w:t>
            </w:r>
          </w:p>
          <w:p w:rsidR="00624748" w:rsidRPr="008142BB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10"/>
                <w:szCs w:val="10"/>
              </w:rPr>
            </w:pPr>
          </w:p>
          <w:p w:rsidR="00624748" w:rsidRPr="008142BB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20"/>
                <w:szCs w:val="20"/>
              </w:rPr>
            </w:pPr>
            <w:r w:rsidRPr="008142BB">
              <w:rPr>
                <w:rFonts w:ascii="PT Sans" w:hAnsi="PT Sans"/>
                <w:sz w:val="20"/>
                <w:szCs w:val="20"/>
              </w:rPr>
              <w:t>Казань, ул. Бутлерова, д.4. ауд. А708</w:t>
            </w:r>
          </w:p>
          <w:p w:rsidR="00624748" w:rsidRPr="008142BB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20"/>
                <w:szCs w:val="20"/>
              </w:rPr>
            </w:pPr>
            <w:r w:rsidRPr="008142BB">
              <w:rPr>
                <w:rFonts w:ascii="PT Sans" w:hAnsi="PT Sans"/>
                <w:sz w:val="20"/>
                <w:szCs w:val="20"/>
              </w:rPr>
              <w:t>Тел. (843) 238-87-07</w:t>
            </w:r>
          </w:p>
          <w:p w:rsidR="00624748" w:rsidRPr="00B813E2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10"/>
                <w:szCs w:val="10"/>
              </w:rPr>
            </w:pPr>
          </w:p>
          <w:p w:rsidR="00624748" w:rsidRPr="00B813E2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20"/>
                <w:szCs w:val="20"/>
              </w:rPr>
            </w:pPr>
            <w:r w:rsidRPr="008142BB">
              <w:rPr>
                <w:rFonts w:ascii="PT Sans" w:hAnsi="PT Sans"/>
                <w:sz w:val="20"/>
                <w:szCs w:val="20"/>
                <w:lang w:val="en-US"/>
              </w:rPr>
              <w:t>e</w:t>
            </w:r>
            <w:r w:rsidRPr="00B813E2">
              <w:rPr>
                <w:rFonts w:ascii="PT Sans" w:hAnsi="PT Sans"/>
                <w:sz w:val="20"/>
                <w:szCs w:val="20"/>
              </w:rPr>
              <w:t>-</w:t>
            </w:r>
            <w:r w:rsidRPr="008142BB">
              <w:rPr>
                <w:rFonts w:ascii="PT Sans" w:hAnsi="PT Sans"/>
                <w:sz w:val="20"/>
                <w:szCs w:val="20"/>
                <w:lang w:val="en-US"/>
              </w:rPr>
              <w:t>mail</w:t>
            </w:r>
            <w:r w:rsidRPr="00B813E2">
              <w:rPr>
                <w:rFonts w:ascii="PT Sans" w:hAnsi="PT Sans"/>
                <w:sz w:val="20"/>
                <w:szCs w:val="20"/>
              </w:rPr>
              <w:t xml:space="preserve">: </w:t>
            </w:r>
            <w:r w:rsidRPr="008142BB">
              <w:rPr>
                <w:rFonts w:ascii="PT Sans" w:hAnsi="PT Sans"/>
                <w:sz w:val="20"/>
                <w:szCs w:val="20"/>
                <w:lang w:val="en-US"/>
              </w:rPr>
              <w:t>lejsaISalahova</w:t>
            </w:r>
            <w:r w:rsidRPr="00B813E2">
              <w:rPr>
                <w:rFonts w:ascii="PT Sans" w:hAnsi="PT Sans"/>
                <w:sz w:val="20"/>
                <w:szCs w:val="20"/>
              </w:rPr>
              <w:t>@</w:t>
            </w:r>
            <w:r w:rsidRPr="008142BB">
              <w:rPr>
                <w:rFonts w:ascii="PT Sans" w:hAnsi="PT Sans"/>
                <w:sz w:val="20"/>
                <w:szCs w:val="20"/>
                <w:lang w:val="en-US"/>
              </w:rPr>
              <w:t>kpfu</w:t>
            </w:r>
            <w:r w:rsidRPr="00B813E2">
              <w:rPr>
                <w:rFonts w:ascii="PT Sans" w:hAnsi="PT Sans"/>
                <w:sz w:val="20"/>
                <w:szCs w:val="20"/>
              </w:rPr>
              <w:t>.</w:t>
            </w:r>
            <w:r w:rsidRPr="008142BB">
              <w:rPr>
                <w:rFonts w:ascii="PT Sans" w:hAnsi="PT Sans"/>
                <w:sz w:val="20"/>
                <w:szCs w:val="20"/>
                <w:lang w:val="en-US"/>
              </w:rPr>
              <w:t>ru</w:t>
            </w:r>
          </w:p>
          <w:p w:rsidR="00624748" w:rsidRDefault="00624748" w:rsidP="003B78A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rPr>
                <w:rFonts w:ascii="PT Sans" w:hAnsi="PT Sans"/>
                <w:sz w:val="24"/>
                <w:szCs w:val="24"/>
              </w:rPr>
            </w:pPr>
            <w:r w:rsidRPr="008142BB">
              <w:rPr>
                <w:rFonts w:ascii="PT Sans" w:hAnsi="PT Sans"/>
                <w:sz w:val="20"/>
                <w:szCs w:val="20"/>
              </w:rPr>
              <w:t>https://kpfu.ru/institutes/institut-upravleniya-ekonomiki-i-finansov/struktura/otdelenie-menedzhmenta/kafedra-innovacij-i-investicij</w:t>
            </w:r>
          </w:p>
        </w:tc>
      </w:tr>
      <w:bookmarkEnd w:id="0"/>
    </w:tbl>
    <w:p w:rsidR="00A0459E" w:rsidRPr="001F7ED5" w:rsidRDefault="00A0459E" w:rsidP="001F7ED5">
      <w:pPr>
        <w:pStyle w:val="31"/>
        <w:tabs>
          <w:tab w:val="left" w:pos="941"/>
        </w:tabs>
        <w:spacing w:line="240" w:lineRule="auto"/>
        <w:jc w:val="center"/>
        <w:rPr>
          <w:rFonts w:ascii="PT Sans" w:hAnsi="PT Sans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7179B" w:rsidTr="00B7179B">
        <w:tc>
          <w:tcPr>
            <w:tcW w:w="5000" w:type="pct"/>
            <w:shd w:val="clear" w:color="auto" w:fill="C0504D" w:themeFill="accent2"/>
          </w:tcPr>
          <w:p w:rsidR="00B7179B" w:rsidRDefault="00B7179B" w:rsidP="00B7179B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 xml:space="preserve">Цель </w:t>
            </w:r>
            <w:r w:rsidR="00682274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реализации профиля</w:t>
            </w:r>
          </w:p>
        </w:tc>
      </w:tr>
      <w:tr w:rsidR="00B7179B" w:rsidRPr="00F646D0" w:rsidTr="00B7179B">
        <w:tc>
          <w:tcPr>
            <w:tcW w:w="5000" w:type="pct"/>
          </w:tcPr>
          <w:p w:rsidR="00F646D0" w:rsidRPr="00F646D0" w:rsidRDefault="00F646D0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8"/>
                <w:szCs w:val="8"/>
              </w:rPr>
            </w:pPr>
          </w:p>
          <w:p w:rsidR="00B7179B" w:rsidRPr="00B7179B" w:rsidRDefault="00B7179B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B7179B">
              <w:rPr>
                <w:rFonts w:ascii="PT Sans" w:hAnsi="PT Sans"/>
                <w:sz w:val="24"/>
                <w:szCs w:val="24"/>
              </w:rPr>
              <w:t xml:space="preserve">подготовка специалистов-аналитиков в области делового анализа </w:t>
            </w:r>
          </w:p>
          <w:p w:rsidR="00B7179B" w:rsidRPr="00F646D0" w:rsidRDefault="00B7179B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646D0">
              <w:rPr>
                <w:rFonts w:ascii="PT Sans" w:hAnsi="PT Sans"/>
                <w:sz w:val="24"/>
                <w:szCs w:val="24"/>
              </w:rPr>
              <w:t>и информационно-аналитической поддержки принятия управленческих решений</w:t>
            </w:r>
          </w:p>
        </w:tc>
      </w:tr>
    </w:tbl>
    <w:p w:rsidR="00FB6F1D" w:rsidRPr="001F7ED5" w:rsidRDefault="00FB6F1D" w:rsidP="001F7ED5">
      <w:pPr>
        <w:pStyle w:val="31"/>
        <w:tabs>
          <w:tab w:val="left" w:pos="941"/>
        </w:tabs>
        <w:spacing w:line="240" w:lineRule="auto"/>
        <w:jc w:val="center"/>
        <w:rPr>
          <w:rFonts w:ascii="PT Sans" w:hAnsi="PT Sans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B7179B" w:rsidRPr="00B7179B" w:rsidTr="00F646D0">
        <w:tc>
          <w:tcPr>
            <w:tcW w:w="5000" w:type="pct"/>
            <w:gridSpan w:val="4"/>
            <w:shd w:val="clear" w:color="auto" w:fill="C0504D" w:themeFill="accent2"/>
          </w:tcPr>
          <w:p w:rsidR="00B7179B" w:rsidRPr="00B7179B" w:rsidRDefault="00B7179B" w:rsidP="00F646D0">
            <w:pPr>
              <w:jc w:val="center"/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</w:pPr>
            <w:r w:rsidRPr="00B7179B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 xml:space="preserve">Места будущей работы выпускников </w:t>
            </w:r>
            <w:r w:rsidR="00682274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профиля</w:t>
            </w:r>
          </w:p>
        </w:tc>
      </w:tr>
      <w:tr w:rsidR="00B7179B" w:rsidTr="00F646D0">
        <w:trPr>
          <w:trHeight w:val="1425"/>
        </w:trPr>
        <w:tc>
          <w:tcPr>
            <w:tcW w:w="1250" w:type="pct"/>
            <w:vAlign w:val="center"/>
          </w:tcPr>
          <w:p w:rsidR="00B7179B" w:rsidRDefault="00B7179B" w:rsidP="00F646D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</w:rPr>
            </w:pPr>
            <w:r w:rsidRPr="00B7179B">
              <w:rPr>
                <w:rFonts w:ascii="PT Sans" w:hAnsi="PT Sans"/>
                <w:noProof/>
              </w:rPr>
              <w:drawing>
                <wp:inline distT="0" distB="0" distL="0" distR="0" wp14:anchorId="1BAA67CD" wp14:editId="4C5B7230">
                  <wp:extent cx="752400" cy="716400"/>
                  <wp:effectExtent l="0" t="0" r="0" b="7620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B7179B" w:rsidRDefault="00B7179B" w:rsidP="00F646D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</w:rPr>
            </w:pPr>
            <w:r w:rsidRPr="00B7179B">
              <w:rPr>
                <w:rFonts w:ascii="PT Sans" w:hAnsi="PT Sans"/>
                <w:noProof/>
              </w:rPr>
              <w:drawing>
                <wp:inline distT="0" distB="0" distL="0" distR="0" wp14:anchorId="204C531B" wp14:editId="2B1CFB91">
                  <wp:extent cx="758190" cy="758190"/>
                  <wp:effectExtent l="0" t="0" r="3810" b="0"/>
                  <wp:docPr id="13" name="Picture 11" descr="Картинки по запросу консалт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 descr="Картинки по запросу консалт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10" cy="7583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B7179B" w:rsidRDefault="00B7179B" w:rsidP="00F646D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</w:rPr>
            </w:pPr>
            <w:r w:rsidRPr="00B7179B">
              <w:rPr>
                <w:rFonts w:ascii="PT Sans" w:hAnsi="PT Sans"/>
                <w:noProof/>
              </w:rPr>
              <w:drawing>
                <wp:inline distT="0" distB="0" distL="0" distR="0" wp14:anchorId="5AF51EEB" wp14:editId="6163C785">
                  <wp:extent cx="730800" cy="69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B7179B" w:rsidRDefault="00B7179B" w:rsidP="00F646D0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</w:rPr>
            </w:pPr>
            <w:r w:rsidRPr="00B7179B">
              <w:rPr>
                <w:rFonts w:ascii="PT Sans" w:hAnsi="PT Sans"/>
                <w:noProof/>
              </w:rPr>
              <w:drawing>
                <wp:inline distT="0" distB="0" distL="0" distR="0" wp14:anchorId="04C0E0D8" wp14:editId="6BE62295">
                  <wp:extent cx="752400" cy="720000"/>
                  <wp:effectExtent l="0" t="0" r="0" b="4445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79B" w:rsidTr="00020C2C">
        <w:tc>
          <w:tcPr>
            <w:tcW w:w="1250" w:type="pct"/>
            <w:vAlign w:val="center"/>
          </w:tcPr>
          <w:p w:rsidR="00B7179B" w:rsidRPr="00F646D0" w:rsidRDefault="00B7179B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646D0">
              <w:rPr>
                <w:rFonts w:ascii="PT Sans" w:hAnsi="PT Sans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250" w:type="pct"/>
            <w:vAlign w:val="center"/>
          </w:tcPr>
          <w:p w:rsidR="00B7179B" w:rsidRDefault="00B7179B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646D0">
              <w:rPr>
                <w:rFonts w:ascii="PT Sans" w:hAnsi="PT Sans"/>
                <w:sz w:val="24"/>
                <w:szCs w:val="24"/>
              </w:rPr>
              <w:t>Консалтинговые,  проектные,  внедренческие  или сервисные компании</w:t>
            </w:r>
          </w:p>
          <w:p w:rsidR="00682274" w:rsidRPr="00F646D0" w:rsidRDefault="00682274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7179B" w:rsidRPr="00F646D0" w:rsidRDefault="00B7179B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646D0">
              <w:rPr>
                <w:rFonts w:ascii="PT Sans" w:hAnsi="PT Sans"/>
                <w:sz w:val="24"/>
                <w:szCs w:val="24"/>
              </w:rPr>
              <w:t xml:space="preserve">Государственные </w:t>
            </w:r>
            <w:r w:rsidR="00020C2C">
              <w:rPr>
                <w:rFonts w:ascii="PT Sans" w:hAnsi="PT Sans"/>
                <w:sz w:val="24"/>
                <w:szCs w:val="24"/>
              </w:rPr>
              <w:br/>
            </w:r>
            <w:r w:rsidRPr="00F646D0">
              <w:rPr>
                <w:rFonts w:ascii="PT Sans" w:hAnsi="PT Sans"/>
                <w:sz w:val="24"/>
                <w:szCs w:val="24"/>
              </w:rPr>
              <w:t>и муниципальные структуры</w:t>
            </w:r>
          </w:p>
        </w:tc>
        <w:tc>
          <w:tcPr>
            <w:tcW w:w="1250" w:type="pct"/>
            <w:vAlign w:val="center"/>
          </w:tcPr>
          <w:p w:rsidR="00B7179B" w:rsidRPr="00F646D0" w:rsidRDefault="00F646D0" w:rsidP="00020C2C">
            <w:pPr>
              <w:pStyle w:val="31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646D0">
              <w:rPr>
                <w:rFonts w:ascii="PT Sans" w:hAnsi="PT Sans"/>
                <w:sz w:val="24"/>
                <w:szCs w:val="24"/>
              </w:rPr>
              <w:t>Малые инновационные компании</w:t>
            </w:r>
          </w:p>
        </w:tc>
      </w:tr>
    </w:tbl>
    <w:p w:rsidR="00020C2C" w:rsidRPr="001F7ED5" w:rsidRDefault="00020C2C" w:rsidP="001F7ED5">
      <w:pPr>
        <w:pStyle w:val="31"/>
        <w:tabs>
          <w:tab w:val="left" w:pos="941"/>
        </w:tabs>
        <w:spacing w:line="240" w:lineRule="auto"/>
        <w:jc w:val="center"/>
        <w:rPr>
          <w:rFonts w:ascii="PT Sans" w:hAnsi="PT Sans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82274" w:rsidTr="00C30DFD">
        <w:tc>
          <w:tcPr>
            <w:tcW w:w="5000" w:type="pct"/>
            <w:gridSpan w:val="3"/>
            <w:shd w:val="clear" w:color="auto" w:fill="C0504D" w:themeFill="accent2"/>
          </w:tcPr>
          <w:p w:rsidR="00682274" w:rsidRDefault="00682274" w:rsidP="009D1C37">
            <w:pPr>
              <w:jc w:val="center"/>
              <w:rPr>
                <w:rFonts w:ascii="PT Sans" w:hAnsi="PT Sans"/>
              </w:rPr>
            </w:pPr>
            <w:r w:rsidRPr="00682274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 xml:space="preserve">Профессии выпускников </w:t>
            </w:r>
            <w:r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профиля</w:t>
            </w:r>
          </w:p>
        </w:tc>
      </w:tr>
      <w:tr w:rsidR="00C30DFD" w:rsidRPr="00F646D0" w:rsidTr="00C30DFD">
        <w:trPr>
          <w:trHeight w:val="616"/>
        </w:trPr>
        <w:tc>
          <w:tcPr>
            <w:tcW w:w="1666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>Аналитик</w:t>
            </w:r>
            <w:r>
              <w:rPr>
                <w:rFonts w:ascii="PT Sans" w:hAnsi="PT Sans"/>
                <w:sz w:val="24"/>
                <w:szCs w:val="24"/>
              </w:rPr>
              <w:t>и</w:t>
            </w:r>
            <w:r w:rsidRPr="00C30DFD">
              <w:rPr>
                <w:rFonts w:ascii="PT Sans" w:hAnsi="PT Sans"/>
                <w:sz w:val="24"/>
                <w:szCs w:val="24"/>
              </w:rPr>
              <w:t xml:space="preserve"> инвестиционных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и управляющих компаний</w:t>
            </w:r>
          </w:p>
        </w:tc>
        <w:tc>
          <w:tcPr>
            <w:tcW w:w="1667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 xml:space="preserve">Аналитики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рынка ценных бумаг</w:t>
            </w:r>
          </w:p>
        </w:tc>
        <w:tc>
          <w:tcPr>
            <w:tcW w:w="1667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>Координатор</w:t>
            </w:r>
            <w:r w:rsidR="00847B54">
              <w:rPr>
                <w:rFonts w:ascii="PT Sans" w:hAnsi="PT Sans"/>
                <w:sz w:val="24"/>
                <w:szCs w:val="24"/>
              </w:rPr>
              <w:t>ы</w:t>
            </w:r>
            <w:r w:rsidRPr="00C30DFD">
              <w:rPr>
                <w:rFonts w:ascii="PT Sans" w:hAnsi="PT Sans"/>
                <w:sz w:val="24"/>
                <w:szCs w:val="24"/>
              </w:rPr>
              <w:t xml:space="preserve"> проектов в распределенных сообществах</w:t>
            </w:r>
          </w:p>
        </w:tc>
      </w:tr>
      <w:tr w:rsidR="00C30DFD" w:rsidRPr="00F646D0" w:rsidTr="00C30DFD">
        <w:trPr>
          <w:trHeight w:val="73"/>
        </w:trPr>
        <w:tc>
          <w:tcPr>
            <w:tcW w:w="1666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 xml:space="preserve">Специалисты аналитических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и рейтинговых агентств</w:t>
            </w:r>
          </w:p>
        </w:tc>
        <w:tc>
          <w:tcPr>
            <w:tcW w:w="1667" w:type="pct"/>
            <w:vAlign w:val="center"/>
          </w:tcPr>
          <w:p w:rsidR="00C30DFD" w:rsidRPr="00C30DFD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b/>
                <w:sz w:val="26"/>
                <w:szCs w:val="26"/>
              </w:rPr>
            </w:pPr>
            <w:r w:rsidRPr="00C30DFD">
              <w:rPr>
                <w:rFonts w:ascii="PT Sans" w:hAnsi="PT Sans"/>
                <w:b/>
                <w:sz w:val="26"/>
                <w:szCs w:val="26"/>
              </w:rPr>
              <w:t>БИЗНЕС-АНАЛИТИК</w:t>
            </w:r>
          </w:p>
        </w:tc>
        <w:tc>
          <w:tcPr>
            <w:tcW w:w="1667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>Менеджер</w:t>
            </w:r>
            <w:r>
              <w:rPr>
                <w:rFonts w:ascii="PT Sans" w:hAnsi="PT Sans"/>
                <w:sz w:val="24"/>
                <w:szCs w:val="24"/>
              </w:rPr>
              <w:t>ы</w:t>
            </w:r>
            <w:r w:rsidRPr="00C30DFD">
              <w:rPr>
                <w:rFonts w:ascii="PT Sans" w:hAnsi="PT Sans"/>
                <w:sz w:val="24"/>
                <w:szCs w:val="24"/>
              </w:rPr>
              <w:t xml:space="preserve"> краудсорсинговых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и краудинвестинговых платформ</w:t>
            </w:r>
          </w:p>
        </w:tc>
      </w:tr>
      <w:tr w:rsidR="00C30DFD" w:rsidRPr="00F646D0" w:rsidTr="00C30DFD">
        <w:trPr>
          <w:trHeight w:val="73"/>
        </w:trPr>
        <w:tc>
          <w:tcPr>
            <w:tcW w:w="1666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 xml:space="preserve">Работники аналитических департаментов министерств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и ведомств</w:t>
            </w:r>
          </w:p>
        </w:tc>
        <w:tc>
          <w:tcPr>
            <w:tcW w:w="1667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 xml:space="preserve">Менеджеры </w:t>
            </w:r>
            <w:r>
              <w:rPr>
                <w:rFonts w:ascii="PT Sans" w:hAnsi="PT Sans"/>
                <w:sz w:val="24"/>
                <w:szCs w:val="24"/>
              </w:rPr>
              <w:br/>
            </w:r>
            <w:r w:rsidRPr="00C30DFD">
              <w:rPr>
                <w:rFonts w:ascii="PT Sans" w:hAnsi="PT Sans"/>
                <w:sz w:val="24"/>
                <w:szCs w:val="24"/>
              </w:rPr>
              <w:t>инвестиционных портфелей</w:t>
            </w:r>
          </w:p>
        </w:tc>
        <w:tc>
          <w:tcPr>
            <w:tcW w:w="1667" w:type="pct"/>
            <w:vAlign w:val="center"/>
          </w:tcPr>
          <w:p w:rsidR="00C30DFD" w:rsidRPr="00F646D0" w:rsidRDefault="00C30DFD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C30DFD">
              <w:rPr>
                <w:rFonts w:ascii="PT Sans" w:hAnsi="PT Sans"/>
                <w:sz w:val="24"/>
                <w:szCs w:val="24"/>
              </w:rPr>
              <w:t>Трендвотчер</w:t>
            </w:r>
            <w:r>
              <w:rPr>
                <w:rFonts w:ascii="PT Sans" w:hAnsi="PT Sans"/>
                <w:sz w:val="24"/>
                <w:szCs w:val="24"/>
              </w:rPr>
              <w:t>ы</w:t>
            </w:r>
          </w:p>
        </w:tc>
      </w:tr>
    </w:tbl>
    <w:p w:rsidR="00B7179B" w:rsidRPr="00020C2C" w:rsidRDefault="00B7179B" w:rsidP="00020C2C">
      <w:pPr>
        <w:pStyle w:val="31"/>
        <w:tabs>
          <w:tab w:val="left" w:pos="941"/>
        </w:tabs>
        <w:spacing w:line="240" w:lineRule="auto"/>
        <w:jc w:val="center"/>
        <w:rPr>
          <w:rFonts w:ascii="PT Sans" w:hAnsi="PT Sans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427"/>
      </w:tblGrid>
      <w:tr w:rsidR="00020C2C" w:rsidTr="00020C2C">
        <w:tc>
          <w:tcPr>
            <w:tcW w:w="5000" w:type="pct"/>
            <w:gridSpan w:val="2"/>
            <w:shd w:val="clear" w:color="auto" w:fill="C0504D" w:themeFill="accent2"/>
          </w:tcPr>
          <w:p w:rsidR="00020C2C" w:rsidRDefault="00B813E2" w:rsidP="00020C2C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Основные к</w:t>
            </w:r>
            <w:r w:rsidR="00020C2C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омпетенции</w:t>
            </w:r>
            <w:r w:rsidR="00020C2C" w:rsidRPr="00682274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 xml:space="preserve"> выпускников </w:t>
            </w:r>
            <w:r w:rsidR="00020C2C">
              <w:rPr>
                <w:rFonts w:ascii="PT Sans" w:hAnsi="PT Sans" w:cs="Times New Roman"/>
                <w:b/>
                <w:color w:val="FFFFFF" w:themeColor="background1"/>
                <w:spacing w:val="-10"/>
                <w:sz w:val="26"/>
                <w:szCs w:val="26"/>
              </w:rPr>
              <w:t>профиля</w:t>
            </w:r>
          </w:p>
        </w:tc>
      </w:tr>
      <w:tr w:rsidR="00020C2C" w:rsidRPr="00F646D0" w:rsidTr="00020C2C">
        <w:trPr>
          <w:trHeight w:val="120"/>
        </w:trPr>
        <w:tc>
          <w:tcPr>
            <w:tcW w:w="1666" w:type="pct"/>
            <w:vMerge w:val="restart"/>
            <w:vAlign w:val="center"/>
          </w:tcPr>
          <w:p w:rsidR="00020C2C" w:rsidRPr="00020C2C" w:rsidRDefault="00020C2C" w:rsidP="00020C2C">
            <w:pPr>
              <w:pStyle w:val="31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/>
                <w:b/>
                <w:sz w:val="24"/>
                <w:szCs w:val="24"/>
              </w:rPr>
              <w:t xml:space="preserve">Компетенции </w:t>
            </w:r>
          </w:p>
          <w:p w:rsidR="00020C2C" w:rsidRPr="00020C2C" w:rsidRDefault="00020C2C" w:rsidP="00020C2C">
            <w:pPr>
              <w:pStyle w:val="31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/>
                <w:b/>
                <w:sz w:val="24"/>
                <w:szCs w:val="24"/>
              </w:rPr>
              <w:t xml:space="preserve">в области </w:t>
            </w:r>
          </w:p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 w:cstheme="minorBidi"/>
                <w:b/>
                <w:spacing w:val="0"/>
                <w:sz w:val="24"/>
                <w:szCs w:val="24"/>
              </w:rPr>
              <w:t>информационно-аналитической деятельности</w:t>
            </w: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>Сбор, количественное измерение и интерпретация бизнес-информации</w:t>
            </w:r>
            <w:r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020C2C">
              <w:rPr>
                <w:rFonts w:ascii="PT Sans" w:hAnsi="PT Sans"/>
                <w:sz w:val="24"/>
                <w:szCs w:val="24"/>
              </w:rPr>
              <w:t>для последующего обоснования и принятия управленческих решений</w:t>
            </w:r>
          </w:p>
        </w:tc>
      </w:tr>
      <w:tr w:rsidR="00020C2C" w:rsidRPr="00F646D0" w:rsidTr="00020C2C">
        <w:trPr>
          <w:trHeight w:val="73"/>
        </w:trPr>
        <w:tc>
          <w:tcPr>
            <w:tcW w:w="1666" w:type="pct"/>
            <w:vMerge/>
            <w:vAlign w:val="center"/>
          </w:tcPr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>Выявление перспективных тенденций в развитии различных отраслей экономики и общественной жизни</w:t>
            </w:r>
          </w:p>
        </w:tc>
      </w:tr>
      <w:tr w:rsidR="00020C2C" w:rsidRPr="00F646D0" w:rsidTr="00020C2C">
        <w:trPr>
          <w:trHeight w:val="73"/>
        </w:trPr>
        <w:tc>
          <w:tcPr>
            <w:tcW w:w="1666" w:type="pct"/>
            <w:vMerge w:val="restart"/>
            <w:vAlign w:val="center"/>
          </w:tcPr>
          <w:p w:rsidR="00020C2C" w:rsidRPr="00020C2C" w:rsidRDefault="00020C2C" w:rsidP="00020C2C">
            <w:pPr>
              <w:pStyle w:val="31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/>
                <w:b/>
                <w:sz w:val="24"/>
                <w:szCs w:val="24"/>
              </w:rPr>
              <w:t xml:space="preserve">Компетенции </w:t>
            </w:r>
          </w:p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 w:cstheme="minorBidi"/>
                <w:b/>
                <w:spacing w:val="0"/>
                <w:sz w:val="24"/>
                <w:szCs w:val="24"/>
              </w:rPr>
              <w:t>в области организационно-управленческой деятельности</w:t>
            </w: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>Знание и понимание ключевых концепций управления бизнесом и способность их применить в условиях профессиональной деятельности</w:t>
            </w:r>
          </w:p>
        </w:tc>
      </w:tr>
      <w:tr w:rsidR="00020C2C" w:rsidRPr="00F646D0" w:rsidTr="00020C2C">
        <w:trPr>
          <w:trHeight w:val="130"/>
        </w:trPr>
        <w:tc>
          <w:tcPr>
            <w:tcW w:w="1666" w:type="pct"/>
            <w:vMerge/>
            <w:vAlign w:val="center"/>
          </w:tcPr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>Умение обосновывать выбор IT-продуктов для организации сбора, обработки и хранения бизнес-информации, используемой в организации</w:t>
            </w:r>
          </w:p>
        </w:tc>
      </w:tr>
      <w:tr w:rsidR="00020C2C" w:rsidRPr="00F646D0" w:rsidTr="00020C2C">
        <w:trPr>
          <w:trHeight w:val="73"/>
        </w:trPr>
        <w:tc>
          <w:tcPr>
            <w:tcW w:w="1666" w:type="pct"/>
            <w:vMerge w:val="restart"/>
            <w:vAlign w:val="center"/>
          </w:tcPr>
          <w:p w:rsidR="00020C2C" w:rsidRPr="00020C2C" w:rsidRDefault="00020C2C" w:rsidP="00020C2C">
            <w:pPr>
              <w:pStyle w:val="31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/>
                <w:b/>
                <w:sz w:val="24"/>
                <w:szCs w:val="24"/>
              </w:rPr>
              <w:t xml:space="preserve">Компетенции </w:t>
            </w:r>
          </w:p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192" w:lineRule="auto"/>
              <w:jc w:val="left"/>
              <w:rPr>
                <w:rFonts w:ascii="PT Sans" w:hAnsi="PT Sans"/>
                <w:b/>
                <w:sz w:val="24"/>
                <w:szCs w:val="24"/>
              </w:rPr>
            </w:pPr>
            <w:r w:rsidRPr="00020C2C">
              <w:rPr>
                <w:rFonts w:ascii="PT Sans" w:hAnsi="PT Sans" w:cstheme="minorBidi"/>
                <w:b/>
                <w:spacing w:val="0"/>
                <w:sz w:val="24"/>
                <w:szCs w:val="24"/>
              </w:rPr>
              <w:t>в области предпринимательской деятельности</w:t>
            </w: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>Оценка проектов для предоставления венчурного финансирования</w:t>
            </w:r>
          </w:p>
        </w:tc>
      </w:tr>
      <w:tr w:rsidR="00020C2C" w:rsidRPr="00F646D0" w:rsidTr="00020C2C">
        <w:trPr>
          <w:trHeight w:val="73"/>
        </w:trPr>
        <w:tc>
          <w:tcPr>
            <w:tcW w:w="1666" w:type="pct"/>
            <w:vMerge/>
            <w:vAlign w:val="center"/>
          </w:tcPr>
          <w:p w:rsidR="00020C2C" w:rsidRPr="00020C2C" w:rsidRDefault="00020C2C" w:rsidP="00020C2C">
            <w:pPr>
              <w:pStyle w:val="31"/>
              <w:shd w:val="clear" w:color="auto" w:fill="auto"/>
              <w:tabs>
                <w:tab w:val="left" w:pos="941"/>
              </w:tabs>
              <w:spacing w:line="240" w:lineRule="auto"/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334" w:type="pct"/>
            <w:vAlign w:val="center"/>
          </w:tcPr>
          <w:p w:rsidR="00020C2C" w:rsidRPr="00020C2C" w:rsidRDefault="00020C2C" w:rsidP="001F7ED5">
            <w:pPr>
              <w:pStyle w:val="31"/>
              <w:shd w:val="clear" w:color="auto" w:fill="auto"/>
              <w:tabs>
                <w:tab w:val="left" w:pos="941"/>
              </w:tabs>
              <w:spacing w:after="60" w:line="192" w:lineRule="auto"/>
              <w:rPr>
                <w:rFonts w:ascii="PT Sans" w:hAnsi="PT Sans"/>
                <w:sz w:val="24"/>
                <w:szCs w:val="24"/>
              </w:rPr>
            </w:pPr>
            <w:r w:rsidRPr="00020C2C">
              <w:rPr>
                <w:rFonts w:ascii="PT Sans" w:hAnsi="PT Sans"/>
                <w:sz w:val="24"/>
                <w:szCs w:val="24"/>
              </w:rPr>
              <w:t xml:space="preserve">Знание особенностей организации и управления бизнесом </w:t>
            </w:r>
            <w:r w:rsidRPr="00020C2C">
              <w:rPr>
                <w:rFonts w:ascii="PT Sans" w:hAnsi="PT Sans"/>
                <w:sz w:val="24"/>
                <w:szCs w:val="24"/>
              </w:rPr>
              <w:br/>
              <w:t>на быстрорастущих рынках и их применение в бизнес-среде</w:t>
            </w:r>
          </w:p>
        </w:tc>
      </w:tr>
    </w:tbl>
    <w:p w:rsidR="00B7179B" w:rsidRPr="00020C2C" w:rsidRDefault="00B7179B" w:rsidP="001F7ED5">
      <w:pPr>
        <w:pStyle w:val="31"/>
        <w:tabs>
          <w:tab w:val="left" w:pos="941"/>
        </w:tabs>
        <w:rPr>
          <w:rFonts w:ascii="PT Sans" w:hAnsi="PT Sans"/>
          <w:sz w:val="10"/>
          <w:szCs w:val="10"/>
        </w:rPr>
      </w:pPr>
    </w:p>
    <w:sectPr w:rsidR="00B7179B" w:rsidRPr="00020C2C" w:rsidSect="00020C2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21D"/>
    <w:multiLevelType w:val="hybridMultilevel"/>
    <w:tmpl w:val="F668A712"/>
    <w:lvl w:ilvl="0" w:tplc="C912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04806">
      <w:start w:val="2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8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84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2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2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E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0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40"/>
    <w:rsid w:val="00020C2C"/>
    <w:rsid w:val="000B0EB0"/>
    <w:rsid w:val="00115751"/>
    <w:rsid w:val="00117651"/>
    <w:rsid w:val="001F7ED5"/>
    <w:rsid w:val="00210951"/>
    <w:rsid w:val="0024498F"/>
    <w:rsid w:val="003129D6"/>
    <w:rsid w:val="00331514"/>
    <w:rsid w:val="003B78A0"/>
    <w:rsid w:val="003E2BC2"/>
    <w:rsid w:val="005900D9"/>
    <w:rsid w:val="005D7EA7"/>
    <w:rsid w:val="00624748"/>
    <w:rsid w:val="00682274"/>
    <w:rsid w:val="00747302"/>
    <w:rsid w:val="007A434D"/>
    <w:rsid w:val="008142BB"/>
    <w:rsid w:val="00847B54"/>
    <w:rsid w:val="0092485C"/>
    <w:rsid w:val="009C5505"/>
    <w:rsid w:val="009D4284"/>
    <w:rsid w:val="00A0459E"/>
    <w:rsid w:val="00A41796"/>
    <w:rsid w:val="00AF5BB1"/>
    <w:rsid w:val="00B7179B"/>
    <w:rsid w:val="00B813E2"/>
    <w:rsid w:val="00BE6840"/>
    <w:rsid w:val="00C30DFD"/>
    <w:rsid w:val="00CB1952"/>
    <w:rsid w:val="00DD0FCD"/>
    <w:rsid w:val="00F646D0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90CE-B751-47C6-9826-BB2A058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8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A0459E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0459E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pacing w:val="-10"/>
      <w:sz w:val="25"/>
      <w:szCs w:val="25"/>
    </w:rPr>
  </w:style>
  <w:style w:type="table" w:styleId="a5">
    <w:name w:val="Grid Table Light"/>
    <w:basedOn w:val="a1"/>
    <w:uiPriority w:val="40"/>
    <w:rsid w:val="00590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unhideWhenUsed/>
    <w:rsid w:val="003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Уленгов Руслан Анатольевич</dc:creator>
  <cp:lastModifiedBy>Азат Садриев</cp:lastModifiedBy>
  <cp:revision>15</cp:revision>
  <dcterms:created xsi:type="dcterms:W3CDTF">2019-03-15T06:41:00Z</dcterms:created>
  <dcterms:modified xsi:type="dcterms:W3CDTF">2019-03-15T10:50:00Z</dcterms:modified>
</cp:coreProperties>
</file>