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6" w:rsidRDefault="00AC46E7" w:rsidP="00AC46E7">
      <w:pPr>
        <w:shd w:val="clear" w:color="auto" w:fill="FFFFFF"/>
        <w:spacing w:after="0"/>
        <w:ind w:left="-1560" w:right="-850"/>
        <w:jc w:val="center"/>
        <w:rPr>
          <w:rFonts w:ascii="Times New Roman" w:hAnsi="Times New Roman"/>
          <w:b/>
          <w:sz w:val="28"/>
          <w:szCs w:val="28"/>
        </w:rPr>
      </w:pPr>
      <w:r w:rsidRPr="00AC46E7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924675" cy="9463663"/>
            <wp:effectExtent l="19050" t="0" r="9525" b="4187"/>
            <wp:docPr id="2" name="Рисунок 1" descr="C:\Users\Lenovo\Desktop\P_20190604_140751_S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_20190604_140751_S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40000"/>
                    </a:blip>
                    <a:srcRect t="13396" b="7201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924675" cy="946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86" w:rsidRDefault="00256086" w:rsidP="0025608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AF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56086" w:rsidRPr="00406AFE" w:rsidRDefault="00256086" w:rsidP="0025608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56086" w:rsidRPr="003455CA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Фосфор – один из основных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макроэлеменов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клетки, жизненно необходимый для ее нормального функционирования. Играя немаловажную роль во многих обменных, энергетических и регуляторных процессах, фосфор входит в состав нуклеиновых кислот,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фосфолипидов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коферментов, макроэргических молекул, ферментных белков и гормонов </w:t>
      </w:r>
      <w:r w:rsidRPr="003455CA">
        <w:rPr>
          <w:rFonts w:ascii="Times New Roman" w:eastAsia="Times New Roman" w:hAnsi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Мухаметзянова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соавт.,2012</w:t>
      </w:r>
      <w:r w:rsidRPr="003455CA">
        <w:rPr>
          <w:rFonts w:ascii="Times New Roman" w:eastAsia="Times New Roman" w:hAnsi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6086" w:rsidRPr="00506378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Фитат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или </w:t>
      </w:r>
      <w:r w:rsidRPr="002D2266">
        <w:rPr>
          <w:rFonts w:ascii="Times New Roman" w:eastAsia="Times New Roman" w:hAnsi="Times New Roman"/>
          <w:color w:val="000000" w:themeColor="text1"/>
          <w:sz w:val="28"/>
          <w:szCs w:val="28"/>
        </w:rPr>
        <w:t>фитиновая кислота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представляет собой основную форму хранения фосфора в кормах растительного происхождения, таких как зерновые, бобовые и масличные культуры</w:t>
      </w:r>
      <w:r w:rsidRPr="00570351">
        <w:rPr>
          <w:rFonts w:ascii="Times New Roman" w:eastAsia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570351">
        <w:rPr>
          <w:rFonts w:ascii="Times New Roman" w:eastAsia="Times New Roman" w:hAnsi="Times New Roman"/>
          <w:color w:val="000000"/>
          <w:sz w:val="28"/>
          <w:szCs w:val="28"/>
        </w:rPr>
        <w:t>Rao</w:t>
      </w:r>
      <w:proofErr w:type="spellEnd"/>
      <w:r w:rsidRPr="005703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2F58">
        <w:rPr>
          <w:rFonts w:ascii="Times New Roman" w:hAnsi="Times New Roman"/>
          <w:i/>
          <w:sz w:val="28"/>
          <w:szCs w:val="28"/>
        </w:rPr>
        <w:t>et</w:t>
      </w:r>
      <w:proofErr w:type="spellEnd"/>
      <w:r w:rsidRPr="00462F58">
        <w:rPr>
          <w:rFonts w:ascii="Times New Roman" w:hAnsi="Times New Roman"/>
          <w:i/>
          <w:sz w:val="28"/>
          <w:szCs w:val="28"/>
        </w:rPr>
        <w:t xml:space="preserve"> al.</w:t>
      </w:r>
      <w:r>
        <w:rPr>
          <w:rFonts w:ascii="Times New Roman" w:hAnsi="Times New Roman"/>
          <w:sz w:val="28"/>
          <w:szCs w:val="28"/>
        </w:rPr>
        <w:t>,20</w:t>
      </w:r>
      <w:r w:rsidRPr="007D3807">
        <w:rPr>
          <w:rFonts w:ascii="Times New Roman" w:hAnsi="Times New Roman"/>
          <w:sz w:val="28"/>
          <w:szCs w:val="28"/>
        </w:rPr>
        <w:t>09</w:t>
      </w:r>
      <w:r w:rsidRPr="00570351">
        <w:rPr>
          <w:rFonts w:ascii="Times New Roman" w:hAnsi="Times New Roman"/>
          <w:sz w:val="28"/>
          <w:szCs w:val="28"/>
        </w:rPr>
        <w:t>]</w:t>
      </w:r>
      <w:r w:rsidRPr="00C40C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Соединения подобного рода не только практически не </w:t>
      </w:r>
      <w:proofErr w:type="spellStart"/>
      <w:r>
        <w:rPr>
          <w:rFonts w:ascii="Times New Roman" w:hAnsi="Times New Roman"/>
          <w:sz w:val="28"/>
          <w:szCs w:val="28"/>
        </w:rPr>
        <w:t>гидролизуются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прохождения по кишечному тракту животных с однокамерным желудком ввиду очень низкой выработки специфических ферментов, вдобавок, они имеют свойство связываться с ионами двухвалентных металлов (</w:t>
      </w:r>
      <w:r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 w:rsidRPr="00A22D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 w:rsidRPr="00A22D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 w:rsidRPr="00A22D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2+</w:t>
      </w:r>
      <w:r w:rsidRPr="00B517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Cu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 w:rsidRPr="00A22D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положительно заряженными белками и аминокислотами с образованием нерастворимых</w:t>
      </w:r>
      <w:r w:rsidRPr="00410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комплексов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Kies</w:t>
      </w:r>
      <w:proofErr w:type="spellEnd"/>
      <w:r w:rsidRPr="00B517E1">
        <w:rPr>
          <w:rFonts w:ascii="Times New Roman" w:hAnsi="Times New Roman"/>
          <w:sz w:val="28"/>
          <w:szCs w:val="28"/>
        </w:rPr>
        <w:t xml:space="preserve"> </w:t>
      </w:r>
      <w:r w:rsidRPr="00B517E1">
        <w:rPr>
          <w:rFonts w:ascii="Times New Roman" w:hAnsi="Times New Roman"/>
          <w:i/>
          <w:sz w:val="28"/>
          <w:szCs w:val="28"/>
          <w:lang w:val="en-US"/>
        </w:rPr>
        <w:t>et</w:t>
      </w:r>
      <w:r w:rsidRPr="00B517E1">
        <w:rPr>
          <w:rFonts w:ascii="Times New Roman" w:hAnsi="Times New Roman"/>
          <w:i/>
          <w:sz w:val="28"/>
          <w:szCs w:val="28"/>
        </w:rPr>
        <w:t xml:space="preserve"> </w:t>
      </w:r>
      <w:r w:rsidRPr="00B517E1">
        <w:rPr>
          <w:rFonts w:ascii="Times New Roman" w:hAnsi="Times New Roman"/>
          <w:i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>.,</w:t>
      </w:r>
      <w:r w:rsidRPr="00B517E1">
        <w:rPr>
          <w:rFonts w:ascii="Times New Roman" w:hAnsi="Times New Roman"/>
          <w:sz w:val="28"/>
          <w:szCs w:val="28"/>
        </w:rPr>
        <w:t>2006]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Следовательно, корм таких животных должен быть насыщен большим количеством неорганического фосфора, чтобы удовлетворить потребность организма в этом макроэлементе. Однако увеличение количества неорганического фосфора в кормах ведет к повышению содержания неусвоенного фитинового фосфора в навозе животных, что приводит к фосфатному загрязнению окружающей среды и </w:t>
      </w:r>
      <w:proofErr w:type="spellStart"/>
      <w:r>
        <w:rPr>
          <w:rFonts w:ascii="Times New Roman" w:hAnsi="Times New Roman"/>
          <w:sz w:val="28"/>
          <w:szCs w:val="28"/>
        </w:rPr>
        <w:t>эвтрофикации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17E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Xiong</w:t>
      </w:r>
      <w:proofErr w:type="spellEnd"/>
      <w:r w:rsidRPr="003455CA">
        <w:rPr>
          <w:rFonts w:ascii="Times New Roman" w:hAnsi="Times New Roman"/>
          <w:sz w:val="28"/>
          <w:szCs w:val="28"/>
        </w:rPr>
        <w:t xml:space="preserve"> </w:t>
      </w:r>
      <w:r w:rsidRPr="00B517E1">
        <w:rPr>
          <w:rFonts w:ascii="Times New Roman" w:hAnsi="Times New Roman"/>
          <w:i/>
          <w:sz w:val="28"/>
          <w:szCs w:val="28"/>
          <w:lang w:val="en-US"/>
        </w:rPr>
        <w:t>et</w:t>
      </w:r>
      <w:r w:rsidRPr="00B517E1">
        <w:rPr>
          <w:rFonts w:ascii="Times New Roman" w:hAnsi="Times New Roman"/>
          <w:i/>
          <w:sz w:val="28"/>
          <w:szCs w:val="28"/>
        </w:rPr>
        <w:t xml:space="preserve"> </w:t>
      </w:r>
      <w:r w:rsidRPr="00B517E1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B517E1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2005;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Ngata</w:t>
      </w:r>
      <w:proofErr w:type="spellEnd"/>
      <w:r w:rsidRPr="005063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Taylor</w:t>
      </w:r>
      <w:r>
        <w:rPr>
          <w:rFonts w:ascii="Times New Roman" w:hAnsi="Times New Roman"/>
          <w:sz w:val="28"/>
          <w:szCs w:val="28"/>
        </w:rPr>
        <w:t>,20</w:t>
      </w:r>
      <w:r w:rsidRPr="00506378">
        <w:rPr>
          <w:rFonts w:ascii="Times New Roman" w:hAnsi="Times New Roman"/>
          <w:sz w:val="28"/>
          <w:szCs w:val="28"/>
        </w:rPr>
        <w:t>18</w:t>
      </w:r>
      <w:r w:rsidRPr="00B517E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Перспективной стратегией в решении данной проблемы является добавление в корма животных специфических микробных ферментов – </w:t>
      </w:r>
      <w:proofErr w:type="spellStart"/>
      <w:r>
        <w:rPr>
          <w:rFonts w:ascii="Times New Roman" w:hAnsi="Times New Roman"/>
          <w:sz w:val="28"/>
          <w:szCs w:val="28"/>
        </w:rPr>
        <w:t>фитаз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расщепляющих </w:t>
      </w:r>
      <w:proofErr w:type="spellStart"/>
      <w:r>
        <w:rPr>
          <w:rFonts w:ascii="Times New Roman" w:hAnsi="Times New Roman"/>
          <w:sz w:val="28"/>
          <w:szCs w:val="28"/>
        </w:rPr>
        <w:t>фитат</w:t>
      </w:r>
      <w:proofErr w:type="spellEnd"/>
      <w:r>
        <w:rPr>
          <w:rFonts w:ascii="Times New Roman" w:hAnsi="Times New Roman"/>
          <w:sz w:val="28"/>
          <w:szCs w:val="28"/>
        </w:rPr>
        <w:t xml:space="preserve"> до спирта </w:t>
      </w:r>
      <w:proofErr w:type="spellStart"/>
      <w:r>
        <w:rPr>
          <w:rFonts w:ascii="Times New Roman" w:hAnsi="Times New Roman"/>
          <w:sz w:val="28"/>
          <w:szCs w:val="28"/>
        </w:rPr>
        <w:t>инозитола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свободных фосфатов. В свою очередь, это направление дает толчок для создания </w:t>
      </w:r>
      <w:proofErr w:type="spellStart"/>
      <w:r>
        <w:rPr>
          <w:rFonts w:ascii="Times New Roman" w:hAnsi="Times New Roman"/>
          <w:sz w:val="28"/>
          <w:szCs w:val="28"/>
        </w:rPr>
        <w:t>гетерологичных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экспрессии на основе </w:t>
      </w:r>
      <w:proofErr w:type="spellStart"/>
      <w:r>
        <w:rPr>
          <w:rFonts w:ascii="Times New Roman" w:hAnsi="Times New Roman"/>
          <w:sz w:val="28"/>
          <w:szCs w:val="28"/>
        </w:rPr>
        <w:t>фитаз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позволяющих получить достаточное </w:t>
      </w:r>
      <w:r>
        <w:rPr>
          <w:rFonts w:ascii="Times New Roman" w:hAnsi="Times New Roman"/>
          <w:sz w:val="28"/>
          <w:szCs w:val="28"/>
        </w:rPr>
        <w:lastRenderedPageBreak/>
        <w:t xml:space="preserve">количество фермента, необходимого для изучения его биохимических и </w:t>
      </w:r>
      <w:proofErr w:type="spellStart"/>
      <w:r>
        <w:rPr>
          <w:rFonts w:ascii="Times New Roman" w:hAnsi="Times New Roman"/>
          <w:sz w:val="28"/>
          <w:szCs w:val="28"/>
        </w:rPr>
        <w:t>энзиматических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 и дальнейшего практического применения.</w:t>
      </w:r>
    </w:p>
    <w:p w:rsidR="00256086" w:rsidRPr="00417401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Метилотрофные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дрожжи </w:t>
      </w:r>
      <w:proofErr w:type="spellStart"/>
      <w:r w:rsidRPr="00663135">
        <w:rPr>
          <w:rFonts w:ascii="Times New Roman" w:hAnsi="Times New Roman"/>
          <w:i/>
          <w:sz w:val="28"/>
          <w:szCs w:val="28"/>
        </w:rPr>
        <w:t>Pichia</w:t>
      </w:r>
      <w:proofErr w:type="spellEnd"/>
      <w:r w:rsidRPr="00663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3135">
        <w:rPr>
          <w:rFonts w:ascii="Times New Roman" w:hAnsi="Times New Roman"/>
          <w:i/>
          <w:sz w:val="28"/>
          <w:szCs w:val="28"/>
        </w:rPr>
        <w:t>pastoris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вместе с дрожжевыми векторами представляют собой большой интерес в качестве высокоэффективной системы экспрессии </w:t>
      </w:r>
      <w:proofErr w:type="spellStart"/>
      <w:r>
        <w:rPr>
          <w:rFonts w:ascii="Times New Roman" w:hAnsi="Times New Roman"/>
          <w:sz w:val="28"/>
          <w:szCs w:val="28"/>
        </w:rPr>
        <w:t>гетерологичных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белков, обеспечивающей высокий уровень продукции за счет сильных и регулируемых промоторов. Дрожжевая культура способна достигать высокой плотности клеток и синтезировать </w:t>
      </w:r>
      <w:proofErr w:type="spellStart"/>
      <w:r>
        <w:rPr>
          <w:rFonts w:ascii="Times New Roman" w:hAnsi="Times New Roman"/>
          <w:sz w:val="28"/>
          <w:szCs w:val="28"/>
        </w:rPr>
        <w:t>рекомбинантные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белки не только </w:t>
      </w:r>
      <w:proofErr w:type="spellStart"/>
      <w:r>
        <w:rPr>
          <w:rFonts w:ascii="Times New Roman" w:hAnsi="Times New Roman"/>
          <w:sz w:val="28"/>
          <w:szCs w:val="28"/>
        </w:rPr>
        <w:t>внутриклеточно</w:t>
      </w:r>
      <w:proofErr w:type="spellEnd"/>
      <w:r>
        <w:rPr>
          <w:rFonts w:ascii="Times New Roman" w:hAnsi="Times New Roman"/>
          <w:sz w:val="28"/>
          <w:szCs w:val="28"/>
        </w:rPr>
        <w:t>, но и наружно, значительно упрощая процесс очистки интересующего исследователей продукта.</w:t>
      </w: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работы явилась оценка влияния сигнальных пептидов на секрецию бактериальной </w:t>
      </w:r>
      <w:proofErr w:type="spellStart"/>
      <w:r>
        <w:rPr>
          <w:rFonts w:ascii="Times New Roman" w:hAnsi="Times New Roman"/>
          <w:sz w:val="28"/>
          <w:szCs w:val="28"/>
        </w:rPr>
        <w:t>гистидиновой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кислой </w:t>
      </w:r>
      <w:proofErr w:type="spellStart"/>
      <w:r>
        <w:rPr>
          <w:rFonts w:ascii="Times New Roman" w:hAnsi="Times New Roman"/>
          <w:sz w:val="28"/>
          <w:szCs w:val="28"/>
        </w:rPr>
        <w:t>фитазы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135">
        <w:rPr>
          <w:rFonts w:ascii="Times New Roman" w:hAnsi="Times New Roman"/>
          <w:i/>
          <w:sz w:val="28"/>
          <w:szCs w:val="28"/>
        </w:rPr>
        <w:t>Pantoea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  <w:r>
        <w:rPr>
          <w:rFonts w:ascii="Times New Roman" w:hAnsi="Times New Roman"/>
          <w:sz w:val="28"/>
          <w:szCs w:val="28"/>
        </w:rPr>
        <w:t>. 3.5.1 дрожжами</w:t>
      </w:r>
      <w:r w:rsidRPr="00663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135">
        <w:rPr>
          <w:rFonts w:ascii="Times New Roman" w:hAnsi="Times New Roman"/>
          <w:i/>
          <w:sz w:val="28"/>
          <w:szCs w:val="28"/>
        </w:rPr>
        <w:t>Pichia</w:t>
      </w:r>
      <w:proofErr w:type="spellEnd"/>
      <w:r w:rsidRPr="00663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3135">
        <w:rPr>
          <w:rFonts w:ascii="Times New Roman" w:hAnsi="Times New Roman"/>
          <w:i/>
          <w:sz w:val="28"/>
          <w:szCs w:val="28"/>
        </w:rPr>
        <w:t>pastoris</w:t>
      </w:r>
      <w:proofErr w:type="spellEnd"/>
      <w:r w:rsidRPr="00663135">
        <w:rPr>
          <w:rFonts w:ascii="Times New Roman" w:hAnsi="Times New Roman"/>
          <w:sz w:val="28"/>
          <w:szCs w:val="28"/>
        </w:rPr>
        <w:t>.</w:t>
      </w: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решались следующие задачи:</w:t>
      </w:r>
    </w:p>
    <w:p w:rsidR="00256086" w:rsidRDefault="00256086" w:rsidP="0025608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786"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 w:rsidRPr="00431786">
        <w:rPr>
          <w:rFonts w:ascii="Times New Roman" w:hAnsi="Times New Roman"/>
          <w:sz w:val="28"/>
          <w:szCs w:val="28"/>
        </w:rPr>
        <w:t>рекомбинантных</w:t>
      </w:r>
      <w:proofErr w:type="spellEnd"/>
      <w:r w:rsidRPr="00431786">
        <w:rPr>
          <w:rFonts w:ascii="Times New Roman" w:hAnsi="Times New Roman"/>
          <w:sz w:val="28"/>
          <w:szCs w:val="28"/>
        </w:rPr>
        <w:t xml:space="preserve"> штаммов </w:t>
      </w:r>
      <w:proofErr w:type="spellStart"/>
      <w:r w:rsidRPr="00431786">
        <w:rPr>
          <w:rFonts w:ascii="Times New Roman" w:hAnsi="Times New Roman"/>
          <w:i/>
          <w:sz w:val="28"/>
          <w:szCs w:val="28"/>
        </w:rPr>
        <w:t>Pichia</w:t>
      </w:r>
      <w:proofErr w:type="spellEnd"/>
      <w:r w:rsidRPr="004317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1786">
        <w:rPr>
          <w:rFonts w:ascii="Times New Roman" w:hAnsi="Times New Roman"/>
          <w:i/>
          <w:sz w:val="28"/>
          <w:szCs w:val="28"/>
        </w:rPr>
        <w:t>pastoris</w:t>
      </w:r>
      <w:proofErr w:type="spellEnd"/>
      <w:r w:rsidRPr="00431786">
        <w:rPr>
          <w:rFonts w:ascii="Times New Roman" w:hAnsi="Times New Roman"/>
          <w:sz w:val="28"/>
          <w:szCs w:val="28"/>
        </w:rPr>
        <w:t xml:space="preserve">, в геном которых интегрирован ген </w:t>
      </w:r>
      <w:proofErr w:type="spellStart"/>
      <w:r w:rsidRPr="00431786">
        <w:rPr>
          <w:rFonts w:ascii="Times New Roman" w:hAnsi="Times New Roman"/>
          <w:sz w:val="28"/>
          <w:szCs w:val="28"/>
        </w:rPr>
        <w:t>фитазы</w:t>
      </w:r>
      <w:proofErr w:type="spellEnd"/>
      <w:r w:rsidRPr="004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786">
        <w:rPr>
          <w:rFonts w:ascii="Times New Roman" w:hAnsi="Times New Roman"/>
          <w:i/>
          <w:sz w:val="28"/>
          <w:szCs w:val="28"/>
        </w:rPr>
        <w:t>Pantoea</w:t>
      </w:r>
      <w:proofErr w:type="spellEnd"/>
      <w:r w:rsidRPr="004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786">
        <w:rPr>
          <w:rFonts w:ascii="Times New Roman" w:hAnsi="Times New Roman"/>
          <w:sz w:val="28"/>
          <w:szCs w:val="28"/>
        </w:rPr>
        <w:t>sp</w:t>
      </w:r>
      <w:proofErr w:type="spellEnd"/>
      <w:r w:rsidRPr="00431786">
        <w:rPr>
          <w:rFonts w:ascii="Times New Roman" w:hAnsi="Times New Roman"/>
          <w:sz w:val="28"/>
          <w:szCs w:val="28"/>
        </w:rPr>
        <w:t>. 3.5.1 (</w:t>
      </w:r>
      <w:proofErr w:type="spellStart"/>
      <w:r w:rsidRPr="00431786">
        <w:rPr>
          <w:rFonts w:ascii="Times New Roman" w:hAnsi="Times New Roman"/>
          <w:i/>
          <w:sz w:val="28"/>
          <w:szCs w:val="28"/>
        </w:rPr>
        <w:t>agpP</w:t>
      </w:r>
      <w:proofErr w:type="spellEnd"/>
      <w:r w:rsidRPr="00431786">
        <w:rPr>
          <w:rFonts w:ascii="Times New Roman" w:hAnsi="Times New Roman"/>
          <w:sz w:val="28"/>
          <w:szCs w:val="28"/>
        </w:rPr>
        <w:t xml:space="preserve">) под контролем </w:t>
      </w:r>
      <w:proofErr w:type="spellStart"/>
      <w:r w:rsidRPr="00431786">
        <w:rPr>
          <w:rFonts w:ascii="Times New Roman" w:hAnsi="Times New Roman"/>
          <w:sz w:val="28"/>
          <w:szCs w:val="28"/>
        </w:rPr>
        <w:t>индуцибельного</w:t>
      </w:r>
      <w:proofErr w:type="spellEnd"/>
      <w:r w:rsidRPr="00431786">
        <w:rPr>
          <w:rFonts w:ascii="Times New Roman" w:hAnsi="Times New Roman"/>
          <w:sz w:val="28"/>
          <w:szCs w:val="28"/>
        </w:rPr>
        <w:t xml:space="preserve"> промотора AOX1 и сигнальных пептидов </w:t>
      </w:r>
      <w:proofErr w:type="gramStart"/>
      <w:r w:rsidRPr="00431786">
        <w:rPr>
          <w:rFonts w:ascii="Times New Roman" w:hAnsi="Times New Roman"/>
          <w:sz w:val="28"/>
          <w:szCs w:val="28"/>
        </w:rPr>
        <w:t>α-</w:t>
      </w:r>
      <w:proofErr w:type="gramEnd"/>
      <w:r w:rsidRPr="00431786">
        <w:rPr>
          <w:rFonts w:ascii="Times New Roman" w:hAnsi="Times New Roman"/>
          <w:sz w:val="28"/>
          <w:szCs w:val="28"/>
        </w:rPr>
        <w:t>амилазы</w:t>
      </w:r>
      <w:r w:rsidRPr="0043178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431786">
        <w:rPr>
          <w:rFonts w:ascii="Times New Roman" w:hAnsi="Times New Roman"/>
          <w:sz w:val="28"/>
          <w:szCs w:val="28"/>
        </w:rPr>
        <w:t>α-фактора.</w:t>
      </w:r>
    </w:p>
    <w:p w:rsidR="00256086" w:rsidRDefault="00256086" w:rsidP="0025608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экспрессии и секреции бактериальной </w:t>
      </w:r>
      <w:proofErr w:type="spellStart"/>
      <w:r>
        <w:rPr>
          <w:rFonts w:ascii="Times New Roman" w:hAnsi="Times New Roman"/>
          <w:sz w:val="28"/>
          <w:szCs w:val="28"/>
        </w:rPr>
        <w:t>фитазы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рекомбинантными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штаммами </w:t>
      </w:r>
      <w:r w:rsidRPr="00431786">
        <w:rPr>
          <w:rFonts w:ascii="Times New Roman" w:hAnsi="Times New Roman"/>
          <w:i/>
          <w:sz w:val="28"/>
          <w:szCs w:val="28"/>
        </w:rPr>
        <w:t>P</w:t>
      </w:r>
      <w:r>
        <w:rPr>
          <w:rFonts w:ascii="Times New Roman" w:hAnsi="Times New Roman"/>
          <w:i/>
          <w:sz w:val="28"/>
          <w:szCs w:val="28"/>
        </w:rPr>
        <w:t>.</w:t>
      </w:r>
      <w:r w:rsidRPr="004317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1786">
        <w:rPr>
          <w:rFonts w:ascii="Times New Roman" w:hAnsi="Times New Roman"/>
          <w:i/>
          <w:sz w:val="28"/>
          <w:szCs w:val="28"/>
        </w:rPr>
        <w:t>pastoris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6086" w:rsidRPr="00431786" w:rsidRDefault="00256086" w:rsidP="0025608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влияния сигнальных пептидов на секрецию </w:t>
      </w:r>
      <w:proofErr w:type="gramStart"/>
      <w:r>
        <w:rPr>
          <w:rFonts w:ascii="Times New Roman" w:hAnsi="Times New Roman"/>
          <w:sz w:val="28"/>
          <w:szCs w:val="28"/>
        </w:rPr>
        <w:t>бактериальной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фитазы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086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086" w:rsidRPr="007D3807" w:rsidRDefault="00256086" w:rsidP="002560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086" w:rsidRDefault="00256086" w:rsidP="002560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086" w:rsidRPr="00835E0D" w:rsidRDefault="00256086" w:rsidP="00256086">
      <w:pPr>
        <w:pStyle w:val="2"/>
        <w:tabs>
          <w:tab w:val="left" w:pos="3720"/>
          <w:tab w:val="center" w:pos="5270"/>
        </w:tabs>
        <w:spacing w:before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ВЫВОДЫ</w:t>
      </w:r>
    </w:p>
    <w:p w:rsidR="00256086" w:rsidRPr="0018707A" w:rsidRDefault="00256086" w:rsidP="00256086">
      <w:pPr>
        <w:spacing w:after="0" w:line="360" w:lineRule="auto"/>
      </w:pPr>
    </w:p>
    <w:p w:rsidR="00256086" w:rsidRPr="00BA6ED8" w:rsidRDefault="00256086" w:rsidP="0025608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</w:t>
      </w:r>
      <w:proofErr w:type="spellStart"/>
      <w:r w:rsidRPr="00BA6ED8">
        <w:rPr>
          <w:rFonts w:ascii="Times New Roman" w:hAnsi="Times New Roman" w:cs="Times New Roman"/>
          <w:color w:val="000000" w:themeColor="text1"/>
          <w:sz w:val="28"/>
          <w:szCs w:val="28"/>
        </w:rPr>
        <w:t>электропорации</w:t>
      </w:r>
      <w:proofErr w:type="spellEnd"/>
      <w:r w:rsidRPr="00BA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получены </w:t>
      </w:r>
      <w:proofErr w:type="spellStart"/>
      <w:r w:rsidRPr="00BA6ED8">
        <w:rPr>
          <w:rFonts w:ascii="Times New Roman" w:hAnsi="Times New Roman" w:cs="Times New Roman"/>
          <w:color w:val="000000" w:themeColor="text1"/>
          <w:sz w:val="28"/>
          <w:szCs w:val="28"/>
        </w:rPr>
        <w:t>рекомбинантные</w:t>
      </w:r>
      <w:proofErr w:type="spellEnd"/>
      <w:r w:rsidRPr="00BA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штаммы </w:t>
      </w:r>
      <w:proofErr w:type="spellStart"/>
      <w:r w:rsidRPr="00BA6ED8">
        <w:rPr>
          <w:rFonts w:ascii="Times New Roman" w:hAnsi="Times New Roman"/>
          <w:i/>
          <w:sz w:val="28"/>
          <w:szCs w:val="28"/>
        </w:rPr>
        <w:t>Pichia</w:t>
      </w:r>
      <w:proofErr w:type="spellEnd"/>
      <w:r w:rsidRPr="00BA6E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A6ED8">
        <w:rPr>
          <w:rFonts w:ascii="Times New Roman" w:hAnsi="Times New Roman"/>
          <w:i/>
          <w:sz w:val="28"/>
          <w:szCs w:val="28"/>
        </w:rPr>
        <w:t>pastoris</w:t>
      </w:r>
      <w:proofErr w:type="spellEnd"/>
      <w:r w:rsidRPr="00BA6ED8">
        <w:rPr>
          <w:rFonts w:ascii="Times New Roman" w:hAnsi="Times New Roman"/>
          <w:sz w:val="28"/>
          <w:szCs w:val="28"/>
        </w:rPr>
        <w:t xml:space="preserve">, в геном которых интегрирован ген </w:t>
      </w:r>
      <w:proofErr w:type="spellStart"/>
      <w:r w:rsidRPr="00BA6ED8">
        <w:rPr>
          <w:rFonts w:ascii="Times New Roman" w:hAnsi="Times New Roman"/>
          <w:sz w:val="28"/>
          <w:szCs w:val="28"/>
        </w:rPr>
        <w:t>фитазы</w:t>
      </w:r>
      <w:proofErr w:type="spellEnd"/>
      <w:r w:rsidRPr="00BA6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ED8">
        <w:rPr>
          <w:rFonts w:ascii="Times New Roman" w:hAnsi="Times New Roman"/>
          <w:i/>
          <w:sz w:val="28"/>
          <w:szCs w:val="28"/>
        </w:rPr>
        <w:t>Pantoea</w:t>
      </w:r>
      <w:proofErr w:type="spellEnd"/>
      <w:r w:rsidRPr="00BA6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ED8">
        <w:rPr>
          <w:rFonts w:ascii="Times New Roman" w:hAnsi="Times New Roman"/>
          <w:sz w:val="28"/>
          <w:szCs w:val="28"/>
        </w:rPr>
        <w:t>sp</w:t>
      </w:r>
      <w:proofErr w:type="spellEnd"/>
      <w:r w:rsidRPr="00BA6ED8">
        <w:rPr>
          <w:rFonts w:ascii="Times New Roman" w:hAnsi="Times New Roman"/>
          <w:sz w:val="28"/>
          <w:szCs w:val="28"/>
        </w:rPr>
        <w:t>. 3.5.1 (</w:t>
      </w:r>
      <w:proofErr w:type="spellStart"/>
      <w:r w:rsidRPr="00BA6ED8">
        <w:rPr>
          <w:rFonts w:ascii="Times New Roman" w:hAnsi="Times New Roman"/>
          <w:i/>
          <w:sz w:val="28"/>
          <w:szCs w:val="28"/>
        </w:rPr>
        <w:t>agpP</w:t>
      </w:r>
      <w:proofErr w:type="spellEnd"/>
      <w:r w:rsidRPr="00BA6ED8">
        <w:rPr>
          <w:rFonts w:ascii="Times New Roman" w:hAnsi="Times New Roman"/>
          <w:sz w:val="28"/>
          <w:szCs w:val="28"/>
        </w:rPr>
        <w:t xml:space="preserve">) под контролем </w:t>
      </w:r>
      <w:proofErr w:type="spellStart"/>
      <w:r w:rsidRPr="00BA6ED8">
        <w:rPr>
          <w:rFonts w:ascii="Times New Roman" w:hAnsi="Times New Roman"/>
          <w:sz w:val="28"/>
          <w:szCs w:val="28"/>
        </w:rPr>
        <w:t>индуцибельного</w:t>
      </w:r>
      <w:proofErr w:type="spellEnd"/>
      <w:r w:rsidRPr="00BA6ED8">
        <w:rPr>
          <w:rFonts w:ascii="Times New Roman" w:hAnsi="Times New Roman"/>
          <w:sz w:val="28"/>
          <w:szCs w:val="28"/>
        </w:rPr>
        <w:t xml:space="preserve"> промотора AOX1 и сигнальных пептидов </w:t>
      </w:r>
      <w:proofErr w:type="gramStart"/>
      <w:r w:rsidRPr="00BA6ED8">
        <w:rPr>
          <w:rFonts w:ascii="Times New Roman" w:hAnsi="Times New Roman"/>
          <w:sz w:val="28"/>
          <w:szCs w:val="28"/>
        </w:rPr>
        <w:t>α-</w:t>
      </w:r>
      <w:proofErr w:type="gramEnd"/>
      <w:r w:rsidRPr="00BA6ED8">
        <w:rPr>
          <w:rFonts w:ascii="Times New Roman" w:hAnsi="Times New Roman"/>
          <w:sz w:val="28"/>
          <w:szCs w:val="28"/>
        </w:rPr>
        <w:t>амилазы</w:t>
      </w:r>
      <w:r w:rsidRPr="00BA6ED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BA6ED8">
        <w:rPr>
          <w:rFonts w:ascii="Times New Roman" w:hAnsi="Times New Roman"/>
          <w:sz w:val="28"/>
          <w:szCs w:val="28"/>
        </w:rPr>
        <w:t>α-фактора.</w:t>
      </w:r>
    </w:p>
    <w:p w:rsidR="00256086" w:rsidRPr="00256086" w:rsidRDefault="00256086" w:rsidP="0025608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086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256086">
        <w:rPr>
          <w:rFonts w:ascii="Times New Roman" w:hAnsi="Times New Roman"/>
          <w:sz w:val="28"/>
          <w:szCs w:val="28"/>
        </w:rPr>
        <w:t>вестерн-блоттинга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и анализа </w:t>
      </w:r>
      <w:proofErr w:type="spellStart"/>
      <w:r w:rsidRPr="00256086">
        <w:rPr>
          <w:rFonts w:ascii="Times New Roman" w:hAnsi="Times New Roman"/>
          <w:sz w:val="28"/>
          <w:szCs w:val="28"/>
        </w:rPr>
        <w:t>фитазной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активности показали, что бактериальная </w:t>
      </w:r>
      <w:proofErr w:type="spellStart"/>
      <w:r w:rsidRPr="00256086">
        <w:rPr>
          <w:rFonts w:ascii="Times New Roman" w:hAnsi="Times New Roman"/>
          <w:sz w:val="28"/>
          <w:szCs w:val="28"/>
        </w:rPr>
        <w:t>фитаза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086">
        <w:rPr>
          <w:rFonts w:ascii="Times New Roman" w:hAnsi="Times New Roman"/>
          <w:sz w:val="28"/>
          <w:szCs w:val="28"/>
        </w:rPr>
        <w:t>AgpP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086">
        <w:rPr>
          <w:rFonts w:ascii="Times New Roman" w:hAnsi="Times New Roman"/>
          <w:sz w:val="28"/>
          <w:szCs w:val="28"/>
        </w:rPr>
        <w:t>экспрессируется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на уровне трансляции и секретируется в </w:t>
      </w:r>
      <w:proofErr w:type="spellStart"/>
      <w:r w:rsidRPr="00256086">
        <w:rPr>
          <w:rFonts w:ascii="Times New Roman" w:hAnsi="Times New Roman"/>
          <w:sz w:val="28"/>
          <w:szCs w:val="28"/>
        </w:rPr>
        <w:t>культуральную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жидкость </w:t>
      </w:r>
      <w:proofErr w:type="spellStart"/>
      <w:r w:rsidRPr="00256086">
        <w:rPr>
          <w:rFonts w:ascii="Times New Roman" w:hAnsi="Times New Roman"/>
          <w:sz w:val="28"/>
          <w:szCs w:val="28"/>
        </w:rPr>
        <w:t>рекомбинантными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дрожжами </w:t>
      </w:r>
      <w:proofErr w:type="spellStart"/>
      <w:r w:rsidRPr="00256086">
        <w:rPr>
          <w:rFonts w:ascii="Times New Roman" w:hAnsi="Times New Roman"/>
          <w:i/>
          <w:sz w:val="28"/>
          <w:szCs w:val="28"/>
        </w:rPr>
        <w:t>Pichia</w:t>
      </w:r>
      <w:proofErr w:type="spellEnd"/>
      <w:r w:rsidRPr="002560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6086">
        <w:rPr>
          <w:rFonts w:ascii="Times New Roman" w:hAnsi="Times New Roman"/>
          <w:i/>
          <w:sz w:val="28"/>
          <w:szCs w:val="28"/>
        </w:rPr>
        <w:t>pastoris</w:t>
      </w:r>
      <w:proofErr w:type="spellEnd"/>
      <w:r w:rsidRPr="00256086">
        <w:rPr>
          <w:rFonts w:ascii="Times New Roman" w:hAnsi="Times New Roman"/>
          <w:sz w:val="28"/>
          <w:szCs w:val="28"/>
        </w:rPr>
        <w:t>.</w:t>
      </w:r>
    </w:p>
    <w:p w:rsidR="00256086" w:rsidRPr="00256086" w:rsidRDefault="00256086" w:rsidP="0025608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56086">
        <w:rPr>
          <w:rFonts w:ascii="Times New Roman" w:hAnsi="Times New Roman"/>
          <w:sz w:val="28"/>
          <w:szCs w:val="28"/>
        </w:rPr>
        <w:t xml:space="preserve">По результатам сравнительного анализа </w:t>
      </w:r>
      <w:proofErr w:type="spellStart"/>
      <w:r w:rsidRPr="00256086">
        <w:rPr>
          <w:rFonts w:ascii="Times New Roman" w:hAnsi="Times New Roman"/>
          <w:sz w:val="28"/>
          <w:szCs w:val="28"/>
        </w:rPr>
        <w:t>фитазной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активности и </w:t>
      </w:r>
      <w:proofErr w:type="spellStart"/>
      <w:r w:rsidRPr="00256086">
        <w:rPr>
          <w:rFonts w:ascii="Times New Roman" w:hAnsi="Times New Roman"/>
          <w:sz w:val="28"/>
          <w:szCs w:val="28"/>
        </w:rPr>
        <w:t>вестерн-блоттинга</w:t>
      </w:r>
      <w:proofErr w:type="spellEnd"/>
      <w:r w:rsidRPr="00256086">
        <w:rPr>
          <w:rFonts w:ascii="Times New Roman" w:hAnsi="Times New Roman"/>
          <w:sz w:val="28"/>
          <w:szCs w:val="28"/>
        </w:rPr>
        <w:t xml:space="preserve"> выявлен наиболее эффективный сигнальный пептид экспрессионной системы – </w:t>
      </w:r>
      <w:r w:rsidRPr="00256086">
        <w:rPr>
          <w:rFonts w:ascii="Times New Roman" w:hAnsi="Times New Roman"/>
          <w:sz w:val="28"/>
          <w:szCs w:val="28"/>
          <w:lang w:val="en-US"/>
        </w:rPr>
        <w:t>SP</w:t>
      </w:r>
      <w:r w:rsidRPr="00256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086">
        <w:rPr>
          <w:rFonts w:ascii="Times New Roman" w:hAnsi="Times New Roman"/>
          <w:sz w:val="28"/>
          <w:szCs w:val="28"/>
        </w:rPr>
        <w:t>инулиназы</w:t>
      </w:r>
      <w:proofErr w:type="spellEnd"/>
      <w:r w:rsidRPr="00256086">
        <w:rPr>
          <w:rFonts w:ascii="Times New Roman" w:hAnsi="Times New Roman"/>
          <w:sz w:val="28"/>
          <w:szCs w:val="28"/>
        </w:rPr>
        <w:t>.</w:t>
      </w:r>
    </w:p>
    <w:p w:rsidR="00256086" w:rsidRPr="00C23395" w:rsidRDefault="00256086" w:rsidP="00256086">
      <w:pPr>
        <w:ind w:firstLine="708"/>
      </w:pPr>
    </w:p>
    <w:p w:rsidR="00043F67" w:rsidRDefault="00043F67"/>
    <w:sectPr w:rsidR="00043F67" w:rsidSect="000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A2" w:rsidRDefault="00950DA2" w:rsidP="00AC46E7">
      <w:pPr>
        <w:spacing w:after="0" w:line="240" w:lineRule="auto"/>
      </w:pPr>
      <w:r>
        <w:separator/>
      </w:r>
    </w:p>
  </w:endnote>
  <w:endnote w:type="continuationSeparator" w:id="0">
    <w:p w:rsidR="00950DA2" w:rsidRDefault="00950DA2" w:rsidP="00A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A2" w:rsidRDefault="00950DA2" w:rsidP="00AC46E7">
      <w:pPr>
        <w:spacing w:after="0" w:line="240" w:lineRule="auto"/>
      </w:pPr>
      <w:r>
        <w:separator/>
      </w:r>
    </w:p>
  </w:footnote>
  <w:footnote w:type="continuationSeparator" w:id="0">
    <w:p w:rsidR="00950DA2" w:rsidRDefault="00950DA2" w:rsidP="00A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CE7"/>
    <w:multiLevelType w:val="hybridMultilevel"/>
    <w:tmpl w:val="75A60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26E0"/>
    <w:multiLevelType w:val="hybridMultilevel"/>
    <w:tmpl w:val="3D765766"/>
    <w:lvl w:ilvl="0" w:tplc="D35A9A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086"/>
    <w:rsid w:val="00043F67"/>
    <w:rsid w:val="00256086"/>
    <w:rsid w:val="00950DA2"/>
    <w:rsid w:val="00A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8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6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86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6E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6E7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2019-06-11T08:58:00Z</dcterms:created>
  <dcterms:modified xsi:type="dcterms:W3CDTF">2019-06-11T09:14:00Z</dcterms:modified>
</cp:coreProperties>
</file>