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F" w:rsidRPr="00343149" w:rsidRDefault="003431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3149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«Налогообложение физических лиц»</w:t>
      </w:r>
    </w:p>
    <w:p w:rsidR="00343149" w:rsidRPr="00343149" w:rsidRDefault="00343149" w:rsidP="003431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hAnsi="Times New Roman" w:cs="Times New Roman"/>
          <w:sz w:val="28"/>
          <w:szCs w:val="28"/>
        </w:rPr>
        <w:t>1.</w:t>
      </w:r>
      <w:r w:rsidRPr="00343149">
        <w:rPr>
          <w:rFonts w:ascii="Times New Roman" w:eastAsia="Calibri" w:hAnsi="Times New Roman" w:cs="Times New Roman"/>
          <w:sz w:val="28"/>
          <w:szCs w:val="28"/>
        </w:rPr>
        <w:t xml:space="preserve"> Становление системы налогов и сборов с граждан в России в первой половине Х</w:t>
      </w:r>
      <w:proofErr w:type="gramStart"/>
      <w:r w:rsidRPr="003431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343149">
        <w:rPr>
          <w:rFonts w:ascii="Times New Roman" w:eastAsia="Calibri" w:hAnsi="Times New Roman" w:cs="Times New Roman"/>
          <w:sz w:val="28"/>
          <w:szCs w:val="28"/>
        </w:rPr>
        <w:t>Х века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2.Система налогов и сборов с граждан в России во второй половине Х</w:t>
      </w:r>
      <w:proofErr w:type="gramStart"/>
      <w:r w:rsidRPr="003431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343149">
        <w:rPr>
          <w:rFonts w:ascii="Times New Roman" w:eastAsia="Calibri" w:hAnsi="Times New Roman" w:cs="Times New Roman"/>
          <w:sz w:val="28"/>
          <w:szCs w:val="28"/>
        </w:rPr>
        <w:t>Х века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3.Становление системы налогов и сборов с граждан в России в первой половине ХХ века.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4.Система налогов и сборов с граждан, применяемая в СССР.</w:t>
      </w:r>
    </w:p>
    <w:p w:rsidR="00343149" w:rsidRPr="00343149" w:rsidRDefault="00343149" w:rsidP="00343149">
      <w:pPr>
        <w:spacing w:after="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43149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развития и р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еформирования  налогообложения физических лиц в России в период 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века.</w:t>
      </w:r>
    </w:p>
    <w:p w:rsidR="00343149" w:rsidRPr="00343149" w:rsidRDefault="00343149" w:rsidP="00343149">
      <w:pPr>
        <w:spacing w:after="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Pr="00343149">
        <w:rPr>
          <w:rFonts w:ascii="Times New Roman" w:eastAsia="Calibri" w:hAnsi="Times New Roman" w:cs="Times New Roman"/>
          <w:sz w:val="28"/>
          <w:szCs w:val="28"/>
        </w:rPr>
        <w:t xml:space="preserve"> Основные тенденции развития налогообложения физических лиц 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343149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рубежом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 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</w:t>
      </w:r>
    </w:p>
    <w:p w:rsidR="00343149" w:rsidRPr="00343149" w:rsidRDefault="00343149" w:rsidP="00343149">
      <w:pPr>
        <w:spacing w:after="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7.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3149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развития и р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еформирования  налогообложения физических лиц в России в период ХХ</w:t>
      </w:r>
      <w:proofErr w:type="gramStart"/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gramEnd"/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века.</w:t>
      </w:r>
    </w:p>
    <w:p w:rsidR="00343149" w:rsidRPr="00343149" w:rsidRDefault="00343149" w:rsidP="00343149">
      <w:pPr>
        <w:spacing w:after="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>8.</w:t>
      </w:r>
      <w:r w:rsidRPr="00343149">
        <w:rPr>
          <w:rFonts w:ascii="Times New Roman" w:eastAsia="Calibri" w:hAnsi="Times New Roman" w:cs="Times New Roman"/>
          <w:sz w:val="28"/>
          <w:szCs w:val="28"/>
        </w:rPr>
        <w:t xml:space="preserve"> Основные тенденции развития налогообложения физических лиц 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343149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рубежом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 начала 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343149">
        <w:rPr>
          <w:rFonts w:ascii="Times New Roman" w:hAnsi="Times New Roman" w:cs="Times New Roman"/>
          <w:color w:val="000000"/>
          <w:spacing w:val="-1"/>
          <w:sz w:val="28"/>
          <w:szCs w:val="28"/>
        </w:rPr>
        <w:t>1 века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9.Сущность налогов с физических лиц.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3149">
        <w:rPr>
          <w:rFonts w:ascii="Times New Roman" w:eastAsia="Calibri" w:hAnsi="Times New Roman" w:cs="Times New Roman"/>
          <w:sz w:val="28"/>
          <w:szCs w:val="28"/>
        </w:rPr>
        <w:t>10.Проявление регулирующей функции  налогов с физических лиц, налоговые льготы,  применяемые физическими лицами в мировой практике.</w:t>
      </w:r>
    </w:p>
    <w:p w:rsidR="00343149" w:rsidRPr="00343149" w:rsidRDefault="00343149" w:rsidP="0034314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149">
        <w:rPr>
          <w:rFonts w:ascii="Times New Roman" w:eastAsia="Calibri" w:hAnsi="Times New Roman" w:cs="Times New Roman"/>
          <w:sz w:val="28"/>
          <w:szCs w:val="28"/>
        </w:rPr>
        <w:t>11.Федеральные, региональные, местные  налоги и сборы с физических лиц, действующие в России, их роль в бюджетной системы.</w:t>
      </w:r>
      <w:proofErr w:type="gramEnd"/>
    </w:p>
    <w:p w:rsidR="00343149" w:rsidRPr="006018DC" w:rsidRDefault="00343149" w:rsidP="00343149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1</w:t>
      </w:r>
      <w:r w:rsid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2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.Категории плательщиков н</w:t>
      </w:r>
      <w:r w:rsidR="006018DC"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алога на доходы физических лиц, их права и обязанности при исчислении и уплате налога на доходы физических лиц.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13</w:t>
      </w:r>
      <w:r w:rsidR="00343149" w:rsidRPr="006018DC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.Физические лица - резиденты, условия исчисления налога на доходы физических лиц резидентами.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</w:t>
      </w:r>
      <w:r w:rsidR="00343149" w:rsidRPr="006018DC">
        <w:rPr>
          <w:rFonts w:ascii="Times New Roman" w:hAnsi="Times New Roman" w:cs="Times New Roman"/>
          <w:color w:val="000000"/>
          <w:spacing w:val="-4"/>
          <w:sz w:val="28"/>
          <w:szCs w:val="28"/>
        </w:rPr>
        <w:t>.Физические лица – нерезиденты, их права и обязанности при исчислении НДФЛ.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15</w:t>
      </w:r>
      <w:r w:rsidR="00343149"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r w:rsidR="00343149" w:rsidRPr="006018DC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Обязанности и права физических лиц в процессе исчисления и уплаты налога на доходы физических лиц. </w:t>
      </w:r>
    </w:p>
    <w:p w:rsid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16</w:t>
      </w:r>
      <w:r w:rsidR="00343149" w:rsidRPr="006018D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43149" w:rsidRPr="006018DC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Обязанности и права индивидуальных предпринимателей при исчислении и уплате налога на доходы физических лиц.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lastRenderedPageBreak/>
        <w:t>1</w:t>
      </w:r>
      <w:r w:rsidR="00343149" w:rsidRPr="006018D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7. </w:t>
      </w:r>
      <w:r w:rsidR="00343149"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Характеристика существенных и факультативных элементов  налога на доходы физических лиц.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</w:t>
      </w:r>
      <w:r w:rsidR="00343149"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8.Условия возникновения двойного налогообложения при исчислении НДФЛ. Международные и национальные условия его </w:t>
      </w:r>
      <w:proofErr w:type="spellStart"/>
      <w:r w:rsidR="00343149"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избежания</w:t>
      </w:r>
      <w:proofErr w:type="spellEnd"/>
      <w:r w:rsidR="00343149"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</w:p>
    <w:p w:rsidR="00343149" w:rsidRPr="006018DC" w:rsidRDefault="006018DC" w:rsidP="00343149">
      <w:pPr>
        <w:shd w:val="clear" w:color="auto" w:fill="FFFFFF"/>
        <w:contextualSpacing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</w:t>
      </w:r>
      <w:r w:rsidR="00343149" w:rsidRPr="006018D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9. Налоговое администрирование НДФЛ.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018DC">
        <w:rPr>
          <w:rFonts w:ascii="Times New Roman" w:eastAsia="Calibri" w:hAnsi="Times New Roman" w:cs="Times New Roman"/>
          <w:sz w:val="28"/>
          <w:szCs w:val="28"/>
        </w:rPr>
        <w:t>.Определение объекта налогообложения и налоговой базы по НДФЛ у резидентов Российской Федерации.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018DC">
        <w:rPr>
          <w:rFonts w:ascii="Times New Roman" w:eastAsia="Calibri" w:hAnsi="Times New Roman" w:cs="Times New Roman"/>
          <w:sz w:val="28"/>
          <w:szCs w:val="28"/>
        </w:rPr>
        <w:t>Определение объекта налогообложения и налоговой базы по НДФЛ у нерезидентов Российской Федерации.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018DC">
        <w:rPr>
          <w:rFonts w:ascii="Times New Roman" w:eastAsia="Calibri" w:hAnsi="Times New Roman" w:cs="Times New Roman"/>
          <w:sz w:val="28"/>
          <w:szCs w:val="28"/>
        </w:rPr>
        <w:t>Налоговая база и порядок ее формирования у резидентов и нерезидентов.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подлежащие налогообложению, полученные от источников  в Российской Федерации.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не являющиеся доходами, полученными от источников в Российской Федерации.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полученные от источников за пределами Российской Федерации.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не признаваемые объектом налогообложения.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полностью освобождаемые от налогообложения.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018DC">
        <w:rPr>
          <w:rFonts w:ascii="Times New Roman" w:eastAsia="Calibri" w:hAnsi="Times New Roman" w:cs="Times New Roman"/>
          <w:sz w:val="28"/>
          <w:szCs w:val="28"/>
        </w:rPr>
        <w:t>Доходы, частично освобождаемые от налогообложения.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6018D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Ставки налога на доходы физических лиц,</w:t>
      </w:r>
      <w:r w:rsidRPr="006018D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6018D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порядок их применения в зависимости от</w:t>
      </w:r>
      <w:r w:rsidRPr="006018D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018D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объекта и налоговой базы. 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018D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Виды доходов, полученных в денежной форме. Порядок применения налоговых ставок.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6018D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доходов, получаемых в натуральной форме. Порядок применения налоговых ставок.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6018D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Доходы в виде материальной выгоды. Порядок применения налоговых ставок.</w:t>
      </w:r>
    </w:p>
    <w:p w:rsid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алоговы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е 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вычет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ы по налогу на доходы физических лиц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Их классификация и общие условия применения.</w:t>
      </w:r>
    </w:p>
    <w:p w:rsidR="006018DC" w:rsidRPr="006018DC" w:rsidRDefault="006018DC" w:rsidP="006018DC">
      <w:pPr>
        <w:shd w:val="clear" w:color="auto" w:fill="FFFFFF"/>
        <w:spacing w:before="317"/>
        <w:ind w:left="-142" w:hanging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34.</w:t>
      </w:r>
      <w:r w:rsidRPr="006018D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Стандартные налоговые вычеты и порядок их  применения налогоплательщиками.</w:t>
      </w:r>
    </w:p>
    <w:p w:rsidR="006018DC" w:rsidRPr="006018DC" w:rsidRDefault="006018DC" w:rsidP="006018DC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6018DC">
        <w:rPr>
          <w:rFonts w:ascii="Times New Roman" w:hAnsi="Times New Roman" w:cs="Times New Roman"/>
          <w:sz w:val="28"/>
          <w:szCs w:val="28"/>
        </w:rPr>
        <w:t>. Виды социальных налоговых вычетов, порядок получения социальных налоговых вычетов.</w:t>
      </w:r>
    </w:p>
    <w:p w:rsidR="006018DC" w:rsidRPr="006018DC" w:rsidRDefault="006018DC" w:rsidP="006018DC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018DC">
        <w:rPr>
          <w:rFonts w:ascii="Times New Roman" w:hAnsi="Times New Roman" w:cs="Times New Roman"/>
          <w:sz w:val="28"/>
          <w:szCs w:val="28"/>
        </w:rPr>
        <w:t>. Имущественные вычеты при продаже налогоплательщиком имущества, порядок их применения налогоплательщиками.</w:t>
      </w:r>
    </w:p>
    <w:p w:rsidR="006018DC" w:rsidRPr="006018DC" w:rsidRDefault="006018DC" w:rsidP="006018DC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6018DC">
        <w:rPr>
          <w:rFonts w:ascii="Times New Roman" w:hAnsi="Times New Roman" w:cs="Times New Roman"/>
          <w:sz w:val="28"/>
          <w:szCs w:val="28"/>
        </w:rPr>
        <w:t xml:space="preserve">  Имущественный налоговый вычет при приобретении или строительстве жилья, порядок его применения налогоплательщиками.</w:t>
      </w:r>
    </w:p>
    <w:p w:rsidR="005642C4" w:rsidRDefault="006018DC" w:rsidP="005642C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6018DC">
        <w:rPr>
          <w:rFonts w:ascii="Times New Roman" w:hAnsi="Times New Roman" w:cs="Times New Roman"/>
          <w:sz w:val="28"/>
          <w:szCs w:val="28"/>
        </w:rPr>
        <w:t xml:space="preserve">. Виды профессиональных вычетов, их размеры. Порядок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6018DC">
        <w:rPr>
          <w:rFonts w:ascii="Times New Roman" w:hAnsi="Times New Roman" w:cs="Times New Roman"/>
          <w:sz w:val="28"/>
          <w:szCs w:val="28"/>
        </w:rPr>
        <w:t xml:space="preserve"> профессиональных налоговых вычетов.</w:t>
      </w:r>
    </w:p>
    <w:p w:rsid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color w:val="000000"/>
          <w:spacing w:val="1"/>
          <w:sz w:val="28"/>
          <w:szCs w:val="28"/>
        </w:rPr>
        <w:t>39.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642C4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алогов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ые</w:t>
      </w:r>
      <w:r w:rsidRPr="00564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агент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 по налогу на доходы физических лиц</w:t>
      </w:r>
      <w:r w:rsidRPr="00564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5642C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Обязанности налогового </w:t>
      </w:r>
      <w:r w:rsidRPr="005642C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агента по НДФЛ.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color w:val="000000"/>
          <w:spacing w:val="-3"/>
          <w:sz w:val="28"/>
          <w:szCs w:val="28"/>
        </w:rPr>
        <w:t>40.Порядок исчисления налога по доходам, полученным физическими лицами п</w:t>
      </w:r>
      <w:r w:rsidRPr="005642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трудовым договорам на постоянной основе, </w:t>
      </w:r>
      <w:r w:rsidRPr="005642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5642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совместительству, </w:t>
      </w:r>
      <w:r w:rsidRPr="005642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5642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 договорам гражданско-правового характера, по авторским договорам. </w:t>
      </w:r>
    </w:p>
    <w:p w:rsidR="005642C4" w:rsidRPr="00E56792" w:rsidRDefault="005642C4" w:rsidP="005642C4">
      <w:pPr>
        <w:pStyle w:val="a3"/>
        <w:shd w:val="clear" w:color="auto" w:fill="FFFFFF"/>
        <w:tabs>
          <w:tab w:val="left" w:pos="284"/>
        </w:tabs>
        <w:spacing w:before="14" w:line="360" w:lineRule="auto"/>
        <w:ind w:left="0"/>
        <w:jc w:val="both"/>
        <w:rPr>
          <w:color w:val="000000"/>
          <w:spacing w:val="-4"/>
          <w:szCs w:val="28"/>
        </w:rPr>
      </w:pPr>
      <w:r>
        <w:rPr>
          <w:rFonts w:cs="Times New Roman"/>
          <w:color w:val="000000"/>
          <w:spacing w:val="-3"/>
          <w:szCs w:val="28"/>
        </w:rPr>
        <w:t>41.</w:t>
      </w:r>
      <w:r w:rsidRPr="005642C4">
        <w:rPr>
          <w:rFonts w:cs="Times New Roman"/>
          <w:color w:val="000000"/>
          <w:spacing w:val="-3"/>
          <w:szCs w:val="28"/>
        </w:rPr>
        <w:t>Порядок исчисления налога по доходам,</w:t>
      </w:r>
      <w:r w:rsidRPr="00E56792">
        <w:rPr>
          <w:color w:val="000000"/>
          <w:spacing w:val="-3"/>
          <w:szCs w:val="28"/>
        </w:rPr>
        <w:t xml:space="preserve"> полученным физическими лицами </w:t>
      </w:r>
      <w:r w:rsidRPr="00E56792">
        <w:rPr>
          <w:color w:val="000000"/>
          <w:spacing w:val="-4"/>
          <w:szCs w:val="28"/>
        </w:rPr>
        <w:t>при смене в течение одного года места работы.</w:t>
      </w:r>
    </w:p>
    <w:p w:rsidR="005642C4" w:rsidRPr="00E56792" w:rsidRDefault="005642C4" w:rsidP="005642C4">
      <w:pPr>
        <w:pStyle w:val="a3"/>
        <w:shd w:val="clear" w:color="auto" w:fill="FFFFFF"/>
        <w:tabs>
          <w:tab w:val="left" w:pos="284"/>
        </w:tabs>
        <w:spacing w:before="14" w:line="360" w:lineRule="auto"/>
        <w:ind w:left="0"/>
        <w:jc w:val="both"/>
        <w:rPr>
          <w:color w:val="000000"/>
          <w:spacing w:val="-4"/>
          <w:szCs w:val="28"/>
        </w:rPr>
      </w:pPr>
      <w:r>
        <w:rPr>
          <w:color w:val="000000"/>
          <w:spacing w:val="-6"/>
          <w:szCs w:val="28"/>
        </w:rPr>
        <w:t>42.</w:t>
      </w:r>
      <w:r w:rsidRPr="00E56792">
        <w:rPr>
          <w:color w:val="000000"/>
          <w:spacing w:val="-6"/>
          <w:szCs w:val="28"/>
        </w:rPr>
        <w:t xml:space="preserve">Порядок </w:t>
      </w:r>
      <w:r>
        <w:rPr>
          <w:color w:val="000000"/>
          <w:spacing w:val="-6"/>
          <w:szCs w:val="28"/>
        </w:rPr>
        <w:t xml:space="preserve">применения налоговых вычетов по НДФЛ </w:t>
      </w:r>
      <w:r w:rsidRPr="00E56792">
        <w:rPr>
          <w:color w:val="000000"/>
          <w:spacing w:val="-2"/>
          <w:szCs w:val="28"/>
        </w:rPr>
        <w:t>налоговым агентом</w:t>
      </w:r>
      <w:r w:rsidRPr="00E56792">
        <w:rPr>
          <w:color w:val="000000"/>
          <w:spacing w:val="-1"/>
          <w:szCs w:val="28"/>
        </w:rPr>
        <w:t xml:space="preserve">. </w:t>
      </w:r>
      <w:r w:rsidRPr="00E56792">
        <w:rPr>
          <w:color w:val="000000"/>
          <w:spacing w:val="-3"/>
          <w:szCs w:val="28"/>
        </w:rPr>
        <w:t xml:space="preserve">    </w:t>
      </w:r>
    </w:p>
    <w:p w:rsidR="005642C4" w:rsidRPr="00E56792" w:rsidRDefault="005642C4" w:rsidP="005642C4">
      <w:pPr>
        <w:pStyle w:val="a3"/>
        <w:shd w:val="clear" w:color="auto" w:fill="FFFFFF"/>
        <w:tabs>
          <w:tab w:val="left" w:pos="284"/>
        </w:tabs>
        <w:spacing w:before="5" w:line="360" w:lineRule="auto"/>
        <w:ind w:left="0"/>
        <w:jc w:val="both"/>
        <w:rPr>
          <w:iCs/>
          <w:color w:val="000000"/>
          <w:spacing w:val="-5"/>
          <w:szCs w:val="28"/>
        </w:rPr>
      </w:pPr>
      <w:r>
        <w:rPr>
          <w:color w:val="000000"/>
          <w:spacing w:val="-6"/>
          <w:szCs w:val="28"/>
        </w:rPr>
        <w:t>43.Ведение налогового учета  налоговыми агентами при исчислении НДФЛ.</w:t>
      </w:r>
      <w:r w:rsidRPr="00E56792">
        <w:rPr>
          <w:color w:val="000000"/>
          <w:spacing w:val="-6"/>
          <w:szCs w:val="28"/>
        </w:rPr>
        <w:t xml:space="preserve">   Виды документов, предоставляемых налоговым агентом в налоговые органы. </w:t>
      </w:r>
    </w:p>
    <w:p w:rsidR="005642C4" w:rsidRDefault="005642C4" w:rsidP="005642C4">
      <w:pPr>
        <w:pStyle w:val="a3"/>
        <w:shd w:val="clear" w:color="auto" w:fill="FFFFFF"/>
        <w:tabs>
          <w:tab w:val="left" w:pos="284"/>
        </w:tabs>
        <w:spacing w:before="5" w:line="360" w:lineRule="auto"/>
        <w:ind w:left="0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6"/>
          <w:szCs w:val="28"/>
        </w:rPr>
        <w:t>44.</w:t>
      </w:r>
      <w:r w:rsidRPr="00E56792">
        <w:rPr>
          <w:iCs/>
          <w:color w:val="000000"/>
          <w:spacing w:val="-6"/>
          <w:szCs w:val="28"/>
        </w:rPr>
        <w:t>О</w:t>
      </w:r>
      <w:r w:rsidRPr="00E56792">
        <w:rPr>
          <w:iCs/>
          <w:color w:val="000000"/>
          <w:spacing w:val="-4"/>
          <w:szCs w:val="28"/>
        </w:rPr>
        <w:t>собенности контроля налоговых органов за правильностью исчисления и с</w:t>
      </w:r>
      <w:r w:rsidRPr="00E56792">
        <w:rPr>
          <w:iCs/>
          <w:color w:val="000000"/>
          <w:spacing w:val="-5"/>
          <w:szCs w:val="28"/>
        </w:rPr>
        <w:t>воевременностью уплаты НДФЛ налоговыми агентами.</w:t>
      </w:r>
    </w:p>
    <w:p w:rsidR="005642C4" w:rsidRPr="003840DB" w:rsidRDefault="005642C4" w:rsidP="005642C4">
      <w:pPr>
        <w:pStyle w:val="a3"/>
        <w:shd w:val="clear" w:color="auto" w:fill="FFFFFF"/>
        <w:tabs>
          <w:tab w:val="left" w:pos="284"/>
        </w:tabs>
        <w:spacing w:before="5" w:line="360" w:lineRule="auto"/>
        <w:ind w:left="0"/>
        <w:jc w:val="both"/>
        <w:rPr>
          <w:rFonts w:cs="Times New Roman"/>
          <w:iCs/>
          <w:color w:val="000000"/>
          <w:spacing w:val="-5"/>
          <w:szCs w:val="28"/>
          <w:u w:val="single"/>
        </w:rPr>
      </w:pPr>
      <w:r w:rsidRPr="003840DB">
        <w:rPr>
          <w:rFonts w:cs="Times New Roman"/>
          <w:iCs/>
          <w:color w:val="000000"/>
          <w:spacing w:val="-5"/>
          <w:szCs w:val="28"/>
          <w:u w:val="single"/>
        </w:rPr>
        <w:t>45. Порядок уплаты налоговыми агентами налога на доходы физических лиц.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hAnsi="Times New Roman" w:cs="Times New Roman"/>
          <w:iCs/>
          <w:color w:val="000000"/>
          <w:spacing w:val="-5"/>
          <w:sz w:val="28"/>
          <w:szCs w:val="28"/>
          <w:u w:val="single"/>
        </w:rPr>
        <w:t xml:space="preserve">46. </w:t>
      </w: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t>Определение налоговой базы по налогу на доходы физических лиц по договорам страхования.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t>47.Определение налоговой базы по налогу на доходы физических лиц по договорам негосударственного пенсионного обеспечения.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t>48.Определение налоговой базы по налогу на доходы физических лиц по договорам обязательного пенсионного страхования, заключаемым с негосударственными пенсионными фондами.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Определение налоговой базы </w:t>
      </w:r>
      <w:r>
        <w:rPr>
          <w:rFonts w:ascii="Times New Roman" w:eastAsia="Calibri" w:hAnsi="Times New Roman" w:cs="Times New Roman"/>
          <w:sz w:val="28"/>
          <w:szCs w:val="28"/>
        </w:rPr>
        <w:t>по налогу на доходы физических лиц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 в отношении доходов от долевого участия в организации.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50.Определение налоговой базы по налогу на доходы физических лиц по операциям купли-продажи ценных бумаг.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t>51.Определение налоговой базы по налогу на доходы физических лиц по доходам по государственным и муниципальным ценным бумагам.</w:t>
      </w:r>
    </w:p>
    <w:p w:rsidR="005642C4" w:rsidRPr="003840DB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40DB">
        <w:rPr>
          <w:rFonts w:ascii="Times New Roman" w:eastAsia="Calibri" w:hAnsi="Times New Roman" w:cs="Times New Roman"/>
          <w:sz w:val="28"/>
          <w:szCs w:val="28"/>
          <w:u w:val="single"/>
        </w:rPr>
        <w:t>52.Определение налоговой базы по налогу на доходы физических лиц по доходам от участия в инвестиционном товариществе.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53.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Определение налоговой базы </w:t>
      </w:r>
      <w:r>
        <w:rPr>
          <w:rFonts w:ascii="Times New Roman" w:eastAsia="Calibri" w:hAnsi="Times New Roman" w:cs="Times New Roman"/>
          <w:sz w:val="28"/>
          <w:szCs w:val="28"/>
        </w:rPr>
        <w:t>по налогу на доходы физических лиц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 по доходам по вкладам в банках и при получении доходов от предоставления займов.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Определение налоговой базы </w:t>
      </w:r>
      <w:r>
        <w:rPr>
          <w:rFonts w:ascii="Times New Roman" w:eastAsia="Calibri" w:hAnsi="Times New Roman" w:cs="Times New Roman"/>
          <w:sz w:val="28"/>
          <w:szCs w:val="28"/>
        </w:rPr>
        <w:t>по налогу на доходы физических лиц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 по доходам в виде выигрышей в лотереи, играх, букмекерских конторах.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Особенности определения доходов </w:t>
      </w:r>
      <w:r>
        <w:rPr>
          <w:rFonts w:ascii="Times New Roman" w:eastAsia="Calibri" w:hAnsi="Times New Roman" w:cs="Times New Roman"/>
          <w:sz w:val="28"/>
          <w:szCs w:val="28"/>
        </w:rPr>
        <w:t>по налогу на доходы физических лиц</w:t>
      </w:r>
      <w:r w:rsidRPr="005642C4">
        <w:rPr>
          <w:rFonts w:ascii="Times New Roman" w:eastAsia="Calibri" w:hAnsi="Times New Roman" w:cs="Times New Roman"/>
          <w:sz w:val="28"/>
          <w:szCs w:val="28"/>
        </w:rPr>
        <w:t xml:space="preserve"> отдельных категорий иностранных граждан.</w:t>
      </w:r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Порядок применения ставок НДФЛ иностранными физическими лицами.</w:t>
      </w:r>
    </w:p>
    <w:p w:rsid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56.</w:t>
      </w:r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Порядок </w:t>
      </w:r>
      <w:proofErr w:type="spellStart"/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избежания</w:t>
      </w:r>
      <w:proofErr w:type="spellEnd"/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двойного налогообложения иностранными гражданами и российскими гражданами на территории России. </w:t>
      </w:r>
    </w:p>
    <w:p w:rsidR="005642C4" w:rsidRPr="005642C4" w:rsidRDefault="005642C4" w:rsidP="005642C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57. Налоговая декларация по налогу на доходы физических лиц, порядок ее </w:t>
      </w:r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формирования и условия предоставления.</w:t>
      </w:r>
    </w:p>
    <w:p w:rsidR="005642C4" w:rsidRP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color w:val="000000"/>
          <w:spacing w:val="-5"/>
          <w:sz w:val="28"/>
          <w:szCs w:val="28"/>
        </w:rPr>
        <w:t>58.</w:t>
      </w:r>
      <w:r w:rsidRPr="005642C4">
        <w:rPr>
          <w:rFonts w:ascii="Times New Roman" w:hAnsi="Times New Roman" w:cs="Times New Roman"/>
          <w:sz w:val="28"/>
          <w:szCs w:val="28"/>
        </w:rPr>
        <w:t xml:space="preserve"> Характеристика имущественных налогов, взимаемых с физических лиц.</w:t>
      </w:r>
    </w:p>
    <w:p w:rsidR="005642C4" w:rsidRP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t>59. Налог на имущество физических лиц: плательщики, объекты обложения, налоговая база, льготы, ставки налога.</w:t>
      </w:r>
    </w:p>
    <w:p w:rsidR="005642C4" w:rsidRP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t>60. Особенности исчисления и уплаты налога на имущество индивидуальными предпринимателями.</w:t>
      </w:r>
    </w:p>
    <w:p w:rsidR="005642C4" w:rsidRP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t>61. Особенности исчисления и уплаты транспортного налога физическими лицами.</w:t>
      </w:r>
    </w:p>
    <w:p w:rsidR="005642C4" w:rsidRP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t>62. Особенности исчисления и уплаты транспортного налога по дорогостоящим транспортным средствам.</w:t>
      </w:r>
    </w:p>
    <w:p w:rsidR="005642C4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t>63. Особенности исчисления и уплаты земельного налога физическими лицами.</w:t>
      </w:r>
    </w:p>
    <w:p w:rsidR="005642C4" w:rsidRPr="00D71217" w:rsidRDefault="005642C4" w:rsidP="005642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2C4"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D71217">
        <w:rPr>
          <w:rFonts w:ascii="Times New Roman" w:hAnsi="Times New Roman" w:cs="Times New Roman"/>
          <w:sz w:val="28"/>
          <w:szCs w:val="28"/>
        </w:rPr>
        <w:t>.</w:t>
      </w:r>
      <w:r w:rsidRPr="005642C4">
        <w:rPr>
          <w:rFonts w:ascii="Times New Roman" w:hAnsi="Times New Roman" w:cs="Times New Roman"/>
          <w:sz w:val="28"/>
          <w:szCs w:val="28"/>
        </w:rPr>
        <w:t xml:space="preserve"> Сроки уплаты имущественных налогов физическими лицами. </w:t>
      </w:r>
      <w:proofErr w:type="gramStart"/>
      <w:r w:rsidRPr="0056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2C4">
        <w:rPr>
          <w:rFonts w:ascii="Times New Roman" w:hAnsi="Times New Roman" w:cs="Times New Roman"/>
          <w:sz w:val="28"/>
          <w:szCs w:val="28"/>
        </w:rPr>
        <w:t xml:space="preserve"> </w:t>
      </w:r>
      <w:r w:rsidRPr="00D71217">
        <w:rPr>
          <w:rFonts w:ascii="Times New Roman" w:hAnsi="Times New Roman" w:cs="Times New Roman"/>
          <w:sz w:val="28"/>
          <w:szCs w:val="28"/>
        </w:rPr>
        <w:t>уплатой имущественных налогов со стороны налоговых органов.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D7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121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1217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а, п</w:t>
      </w:r>
      <w:r w:rsidRPr="00D71217">
        <w:rPr>
          <w:rFonts w:ascii="Times New Roman" w:hAnsi="Times New Roman" w:cs="Times New Roman"/>
          <w:sz w:val="28"/>
          <w:szCs w:val="28"/>
        </w:rPr>
        <w:t>орядок и сроки уплаты пошлины.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D71217">
        <w:rPr>
          <w:rFonts w:ascii="Times New Roman" w:hAnsi="Times New Roman" w:cs="Times New Roman"/>
          <w:sz w:val="28"/>
          <w:szCs w:val="28"/>
        </w:rPr>
        <w:t>. Особенности уплаты государственной пошлины при обращении в судебные органы.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71217">
        <w:rPr>
          <w:rFonts w:ascii="Times New Roman" w:hAnsi="Times New Roman" w:cs="Times New Roman"/>
          <w:sz w:val="28"/>
          <w:szCs w:val="28"/>
        </w:rPr>
        <w:t>. Особенности уплаты госпошлины за совершение нотариальных действий.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D71217">
        <w:rPr>
          <w:rFonts w:ascii="Times New Roman" w:hAnsi="Times New Roman" w:cs="Times New Roman"/>
          <w:sz w:val="28"/>
          <w:szCs w:val="28"/>
        </w:rPr>
        <w:t>. Порядок возврата государственной пошлины.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1217">
        <w:rPr>
          <w:rFonts w:ascii="Times New Roman" w:hAnsi="Times New Roman" w:cs="Times New Roman"/>
          <w:sz w:val="28"/>
          <w:szCs w:val="28"/>
        </w:rPr>
        <w:t>69. Налоговый статус физического лица, зарегистрированного в качестве индивидуального 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17">
        <w:rPr>
          <w:rFonts w:ascii="Times New Roman" w:hAnsi="Times New Roman" w:cs="Times New Roman"/>
          <w:sz w:val="28"/>
          <w:szCs w:val="28"/>
        </w:rPr>
        <w:t>Режимы налогообложения индивидуальных предпринимателей.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71217">
        <w:rPr>
          <w:rFonts w:ascii="Times New Roman" w:hAnsi="Times New Roman" w:cs="Times New Roman"/>
          <w:sz w:val="28"/>
          <w:szCs w:val="28"/>
        </w:rPr>
        <w:t>. Особенности контроля налоговых органов за соблюдением индивидуальными предпринимателями налогового законодательства.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71217">
        <w:rPr>
          <w:rFonts w:ascii="Times New Roman" w:hAnsi="Times New Roman" w:cs="Times New Roman"/>
          <w:sz w:val="28"/>
          <w:szCs w:val="28"/>
        </w:rPr>
        <w:t>. Специфика исчисления и уплаты индивидуальными предпринимателями прямых налогов.</w:t>
      </w:r>
    </w:p>
    <w:p w:rsidR="00D71217" w:rsidRPr="00D71217" w:rsidRDefault="00D71217" w:rsidP="00D71217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71217">
        <w:rPr>
          <w:rFonts w:ascii="Times New Roman" w:hAnsi="Times New Roman" w:cs="Times New Roman"/>
          <w:sz w:val="28"/>
          <w:szCs w:val="28"/>
        </w:rPr>
        <w:t>. Специфика исчисления и уплаты индивидуальными предпринимателями косвенных налогов.</w:t>
      </w:r>
    </w:p>
    <w:p w:rsidR="00D71217" w:rsidRPr="00D71217" w:rsidRDefault="00D71217" w:rsidP="00D71217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73</w:t>
      </w:r>
      <w:r w:rsidRPr="00D7121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 Особенности     налогообложения     предпринимателей,      занимающихся внешнеэкономической деятельностью.</w:t>
      </w:r>
    </w:p>
    <w:p w:rsidR="00D71217" w:rsidRDefault="00D71217" w:rsidP="00D71217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74</w:t>
      </w:r>
      <w:r w:rsidRPr="00D7121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.Особенности применения специальных налоговых режимов индивидуальными предпринимателями.</w:t>
      </w:r>
    </w:p>
    <w:p w:rsidR="00D71217" w:rsidRDefault="00D71217" w:rsidP="00D71217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75.Порядок применения упрощенной системы налогообложения индивидуальными предпринимателями.</w:t>
      </w:r>
    </w:p>
    <w:p w:rsidR="00D71217" w:rsidRDefault="00D71217" w:rsidP="00D71217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76. Порядок применения патентной системы налогообложения индивидуальными предпринимателями.</w:t>
      </w:r>
    </w:p>
    <w:p w:rsidR="00D71217" w:rsidRDefault="00D71217" w:rsidP="00D71217">
      <w:pPr>
        <w:shd w:val="clear" w:color="auto" w:fill="FFFFFF"/>
        <w:contextualSpacing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77. Порядок применения единого налога на вмененный доход индивидуальными предпринимателями.</w:t>
      </w:r>
    </w:p>
    <w:p w:rsidR="00343149" w:rsidRPr="006018DC" w:rsidRDefault="00D71217" w:rsidP="003840DB">
      <w:p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78. Ответственность индивидуальных предпринимателей за нарушение налогового законодательства.</w:t>
      </w:r>
    </w:p>
    <w:p w:rsidR="00343149" w:rsidRPr="006018DC" w:rsidRDefault="00343149">
      <w:pPr>
        <w:rPr>
          <w:rFonts w:ascii="Times New Roman" w:hAnsi="Times New Roman" w:cs="Times New Roman"/>
          <w:sz w:val="28"/>
          <w:szCs w:val="28"/>
        </w:rPr>
      </w:pPr>
    </w:p>
    <w:p w:rsidR="00343149" w:rsidRPr="00343149" w:rsidRDefault="00343149">
      <w:pPr>
        <w:rPr>
          <w:rFonts w:ascii="Times New Roman" w:hAnsi="Times New Roman" w:cs="Times New Roman"/>
          <w:sz w:val="28"/>
          <w:szCs w:val="28"/>
        </w:rPr>
      </w:pPr>
    </w:p>
    <w:sectPr w:rsidR="00343149" w:rsidRPr="00343149" w:rsidSect="009A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B73"/>
    <w:multiLevelType w:val="hybridMultilevel"/>
    <w:tmpl w:val="2E2E17FC"/>
    <w:lvl w:ilvl="0" w:tplc="3AA068D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02449"/>
    <w:multiLevelType w:val="hybridMultilevel"/>
    <w:tmpl w:val="A8E6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416EB"/>
    <w:multiLevelType w:val="hybridMultilevel"/>
    <w:tmpl w:val="D8B6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E12CA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49"/>
    <w:rsid w:val="000A64AB"/>
    <w:rsid w:val="000C0089"/>
    <w:rsid w:val="00343149"/>
    <w:rsid w:val="003840DB"/>
    <w:rsid w:val="00395A89"/>
    <w:rsid w:val="005642C4"/>
    <w:rsid w:val="006018DC"/>
    <w:rsid w:val="009A620F"/>
    <w:rsid w:val="00AA6048"/>
    <w:rsid w:val="00CE4A56"/>
    <w:rsid w:val="00D71217"/>
    <w:rsid w:val="00E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C4"/>
    <w:pPr>
      <w:spacing w:line="276" w:lineRule="auto"/>
      <w:ind w:left="720"/>
      <w:contextualSpacing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C4"/>
    <w:pPr>
      <w:spacing w:line="276" w:lineRule="auto"/>
      <w:ind w:left="720"/>
      <w:contextualSpacing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Балабанова Юлия Николаевна</cp:lastModifiedBy>
  <cp:revision>2</cp:revision>
  <dcterms:created xsi:type="dcterms:W3CDTF">2015-12-23T11:51:00Z</dcterms:created>
  <dcterms:modified xsi:type="dcterms:W3CDTF">2015-12-23T11:51:00Z</dcterms:modified>
</cp:coreProperties>
</file>