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B6" w:rsidRPr="00470F83" w:rsidRDefault="007B61B6" w:rsidP="007B61B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70F83">
        <w:rPr>
          <w:rFonts w:ascii="Times New Roman" w:hAnsi="Times New Roman" w:cs="Times New Roman"/>
          <w:sz w:val="28"/>
          <w:szCs w:val="28"/>
        </w:rPr>
        <w:t>Утверждено на заседании</w:t>
      </w:r>
    </w:p>
    <w:p w:rsidR="007B61B6" w:rsidRPr="00470F83" w:rsidRDefault="007B61B6" w:rsidP="007B61B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70F83">
        <w:rPr>
          <w:rFonts w:ascii="Times New Roman" w:hAnsi="Times New Roman" w:cs="Times New Roman"/>
          <w:sz w:val="28"/>
          <w:szCs w:val="28"/>
        </w:rPr>
        <w:t>Кафедры банковского дела</w:t>
      </w:r>
    </w:p>
    <w:p w:rsidR="007B61B6" w:rsidRPr="00470F83" w:rsidRDefault="007B61B6" w:rsidP="007B61B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70F83">
        <w:rPr>
          <w:rFonts w:ascii="Times New Roman" w:hAnsi="Times New Roman" w:cs="Times New Roman"/>
          <w:sz w:val="28"/>
          <w:szCs w:val="28"/>
        </w:rPr>
        <w:t>Протокол №</w:t>
      </w:r>
      <w:r w:rsidR="009E1753">
        <w:rPr>
          <w:rFonts w:ascii="Times New Roman" w:hAnsi="Times New Roman" w:cs="Times New Roman"/>
          <w:sz w:val="28"/>
          <w:szCs w:val="28"/>
        </w:rPr>
        <w:t>1 от 31.08.2017</w:t>
      </w:r>
    </w:p>
    <w:p w:rsidR="007B61B6" w:rsidRDefault="007B61B6" w:rsidP="00251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22" w:rsidRPr="00251322" w:rsidRDefault="00251322" w:rsidP="00251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22">
        <w:rPr>
          <w:rFonts w:ascii="Times New Roman" w:hAnsi="Times New Roman" w:cs="Times New Roman"/>
          <w:b/>
          <w:sz w:val="28"/>
          <w:szCs w:val="28"/>
        </w:rPr>
        <w:t>Примеры контрольных работ</w:t>
      </w:r>
      <w:r w:rsidR="009E175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251322" w:rsidRPr="003C0167" w:rsidRDefault="00251322" w:rsidP="002513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«Антикризисное управление </w:t>
      </w:r>
      <w:r w:rsidRPr="003C0167">
        <w:rPr>
          <w:rFonts w:ascii="Times New Roman" w:hAnsi="Times New Roman" w:cs="Times New Roman"/>
          <w:b/>
          <w:sz w:val="28"/>
          <w:szCs w:val="28"/>
        </w:rPr>
        <w:t>в кредитных организациях»</w:t>
      </w:r>
    </w:p>
    <w:p w:rsidR="00251322" w:rsidRDefault="00251322" w:rsidP="0025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322" w:rsidRPr="003C0167" w:rsidRDefault="00251322" w:rsidP="0025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67">
        <w:rPr>
          <w:rFonts w:ascii="Times New Roman" w:hAnsi="Times New Roman" w:cs="Times New Roman"/>
          <w:sz w:val="24"/>
          <w:szCs w:val="24"/>
        </w:rPr>
        <w:t>Направление подготовки: 38.03.01 - Экономика</w:t>
      </w:r>
    </w:p>
    <w:p w:rsidR="00251322" w:rsidRPr="003C0167" w:rsidRDefault="00251322" w:rsidP="0025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67">
        <w:rPr>
          <w:rFonts w:ascii="Times New Roman" w:hAnsi="Times New Roman" w:cs="Times New Roman"/>
          <w:sz w:val="24"/>
          <w:szCs w:val="24"/>
        </w:rPr>
        <w:t xml:space="preserve">Квалификация выпускника: бакалавр </w:t>
      </w:r>
    </w:p>
    <w:p w:rsidR="00251322" w:rsidRPr="003C0167" w:rsidRDefault="00251322" w:rsidP="00251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67">
        <w:rPr>
          <w:rFonts w:ascii="Times New Roman" w:hAnsi="Times New Roman" w:cs="Times New Roman"/>
          <w:sz w:val="24"/>
          <w:szCs w:val="24"/>
        </w:rPr>
        <w:t>Форма обучения: очное</w:t>
      </w:r>
      <w:r w:rsidR="009E1753">
        <w:rPr>
          <w:rFonts w:ascii="Times New Roman" w:hAnsi="Times New Roman" w:cs="Times New Roman"/>
          <w:sz w:val="24"/>
          <w:szCs w:val="24"/>
        </w:rPr>
        <w:t>, заочное на базе СПО</w:t>
      </w:r>
    </w:p>
    <w:p w:rsidR="00251322" w:rsidRDefault="00251322" w:rsidP="00251322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251322" w:rsidRPr="00732909" w:rsidRDefault="00251322" w:rsidP="00251322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732909">
        <w:rPr>
          <w:rFonts w:ascii="Times New Roman" w:hAnsi="Times New Roman" w:cs="Times New Roman"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32909">
        <w:rPr>
          <w:rFonts w:ascii="Times New Roman" w:hAnsi="Times New Roman" w:cs="Times New Roman"/>
          <w:sz w:val="26"/>
          <w:szCs w:val="26"/>
        </w:rPr>
        <w:t>.</w:t>
      </w:r>
    </w:p>
    <w:p w:rsidR="00251322" w:rsidRDefault="00251322" w:rsidP="0025132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1322" w:rsidRPr="00732909" w:rsidRDefault="00251322" w:rsidP="0025132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909">
        <w:rPr>
          <w:rFonts w:ascii="Times New Roman" w:hAnsi="Times New Roman" w:cs="Times New Roman"/>
          <w:b/>
          <w:sz w:val="26"/>
          <w:szCs w:val="26"/>
        </w:rPr>
        <w:t>«Расчет обязательных нормативов банка (Н6, Н7, Н9.1)»</w:t>
      </w:r>
    </w:p>
    <w:p w:rsidR="00251322" w:rsidRPr="00732909" w:rsidRDefault="00251322" w:rsidP="002513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909">
        <w:rPr>
          <w:rFonts w:ascii="Times New Roman" w:hAnsi="Times New Roman" w:cs="Times New Roman"/>
          <w:sz w:val="26"/>
          <w:szCs w:val="26"/>
        </w:rPr>
        <w:t>На основании приведенных данных рассчитайте нормативы, регулирующие кредитные риски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32909">
        <w:rPr>
          <w:rFonts w:ascii="Times New Roman" w:hAnsi="Times New Roman" w:cs="Times New Roman"/>
          <w:sz w:val="26"/>
          <w:szCs w:val="26"/>
        </w:rPr>
        <w:t xml:space="preserve"> Н6, Н7, Н9.1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1"/>
        <w:gridCol w:w="1982"/>
        <w:gridCol w:w="1911"/>
        <w:gridCol w:w="1513"/>
        <w:gridCol w:w="1978"/>
      </w:tblGrid>
      <w:tr w:rsidR="00251322" w:rsidRPr="004D7B23" w:rsidTr="00455B5A">
        <w:trPr>
          <w:trHeight w:val="762"/>
        </w:trPr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textAlignment w:val="center"/>
            </w:pPr>
            <w:r w:rsidRPr="004D7B23">
              <w:t>Заемщик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Остаток ссудной задолженности</w:t>
            </w:r>
            <w:r>
              <w:t>, руб.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 xml:space="preserve">Прочая </w:t>
            </w:r>
            <w:r w:rsidRPr="00FB0B94">
              <w:t>приравненная</w:t>
            </w:r>
            <w:r w:rsidRPr="004D7B23">
              <w:t xml:space="preserve"> </w:t>
            </w:r>
          </w:p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 xml:space="preserve">к ссуде </w:t>
            </w:r>
            <w:proofErr w:type="spellStart"/>
            <w:r w:rsidRPr="004D7B23">
              <w:t>задолж</w:t>
            </w:r>
            <w:proofErr w:type="spellEnd"/>
            <w:r w:rsidRPr="004D7B23">
              <w:t>.</w:t>
            </w:r>
            <w:r>
              <w:t>, руб.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proofErr w:type="spellStart"/>
            <w:r w:rsidRPr="004D7B23">
              <w:t>Доп.инфо</w:t>
            </w:r>
            <w:proofErr w:type="spellEnd"/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Размер обесценения ссуды</w:t>
            </w:r>
          </w:p>
        </w:tc>
      </w:tr>
      <w:tr w:rsidR="00251322" w:rsidRPr="004D7B23" w:rsidTr="00455B5A">
        <w:trPr>
          <w:trHeight w:val="674"/>
        </w:trPr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textAlignment w:val="center"/>
            </w:pPr>
            <w:r w:rsidRPr="004D7B23">
              <w:t xml:space="preserve">ООО «Первый» 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 xml:space="preserve">             80 000 000   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 xml:space="preserve">                       -    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 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1%</w:t>
            </w:r>
          </w:p>
        </w:tc>
      </w:tr>
      <w:tr w:rsidR="00251322" w:rsidRPr="004D7B23" w:rsidTr="00455B5A">
        <w:trPr>
          <w:trHeight w:val="683"/>
        </w:trPr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textAlignment w:val="center"/>
            </w:pPr>
            <w:r w:rsidRPr="004D7B23">
              <w:t>ОАО «Второй»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 xml:space="preserve">             40 000 000   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 xml:space="preserve">        10 000 000  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Акционер</w:t>
            </w:r>
            <w:r>
              <w:t xml:space="preserve"> (доля в уставном капитале банка 20%)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20%</w:t>
            </w:r>
          </w:p>
        </w:tc>
      </w:tr>
      <w:tr w:rsidR="00251322" w:rsidRPr="004D7B23" w:rsidTr="00455B5A">
        <w:trPr>
          <w:trHeight w:val="524"/>
        </w:trPr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textAlignment w:val="center"/>
            </w:pPr>
            <w:r w:rsidRPr="004D7B23">
              <w:t xml:space="preserve">ИП «Третий» 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 xml:space="preserve">             27 000 000   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 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 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0%</w:t>
            </w:r>
          </w:p>
        </w:tc>
      </w:tr>
      <w:tr w:rsidR="00251322" w:rsidRPr="004D7B23" w:rsidTr="00455B5A">
        <w:trPr>
          <w:trHeight w:val="674"/>
        </w:trPr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textAlignment w:val="center"/>
            </w:pPr>
            <w:r w:rsidRPr="004D7B23">
              <w:t>Самсонов И.И.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 xml:space="preserve">             15 000 000   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 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 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322" w:rsidRPr="004D7B23" w:rsidRDefault="00251322" w:rsidP="00455B5A">
            <w:pPr>
              <w:spacing w:after="0" w:line="240" w:lineRule="auto"/>
              <w:jc w:val="center"/>
              <w:textAlignment w:val="center"/>
            </w:pPr>
            <w:r w:rsidRPr="004D7B23">
              <w:t>1%</w:t>
            </w:r>
          </w:p>
        </w:tc>
      </w:tr>
    </w:tbl>
    <w:p w:rsidR="00251322" w:rsidRDefault="00251322" w:rsidP="00251322"/>
    <w:p w:rsidR="00251322" w:rsidRDefault="00251322" w:rsidP="00251322">
      <w:r>
        <w:t>Размер собственного капитала – 500 000 000 руб.</w:t>
      </w:r>
    </w:p>
    <w:p w:rsidR="00251322" w:rsidRPr="004D7B23" w:rsidRDefault="00251322" w:rsidP="00251322">
      <w:pPr>
        <w:rPr>
          <w:b/>
        </w:rPr>
      </w:pPr>
      <w:r w:rsidRPr="004D7B23">
        <w:rPr>
          <w:b/>
        </w:rPr>
        <w:t>Ответ</w:t>
      </w:r>
      <w:r w:rsidRPr="00FB0B94">
        <w:rPr>
          <w:b/>
        </w:rPr>
        <w:t>:</w:t>
      </w:r>
    </w:p>
    <w:p w:rsidR="00251322" w:rsidRPr="00732909" w:rsidRDefault="00251322" w:rsidP="00251322">
      <w:pPr>
        <w:rPr>
          <w:color w:val="C00000"/>
        </w:rPr>
      </w:pPr>
      <w:r w:rsidRPr="00732909">
        <w:rPr>
          <w:color w:val="C00000"/>
        </w:rPr>
        <w:t>Н6   = 15,84</w:t>
      </w:r>
    </w:p>
    <w:p w:rsidR="00251322" w:rsidRPr="00732909" w:rsidRDefault="00251322" w:rsidP="00251322">
      <w:pPr>
        <w:rPr>
          <w:color w:val="C00000"/>
        </w:rPr>
      </w:pPr>
      <w:r w:rsidRPr="00732909">
        <w:rPr>
          <w:color w:val="C00000"/>
        </w:rPr>
        <w:t>Н7   = 29,24</w:t>
      </w:r>
    </w:p>
    <w:p w:rsidR="00251322" w:rsidRPr="00732909" w:rsidRDefault="00251322" w:rsidP="00251322">
      <w:pPr>
        <w:rPr>
          <w:color w:val="C00000"/>
        </w:rPr>
      </w:pPr>
      <w:r w:rsidRPr="00732909">
        <w:rPr>
          <w:color w:val="C00000"/>
        </w:rPr>
        <w:t xml:space="preserve">Н9.1 </w:t>
      </w:r>
      <w:proofErr w:type="gramStart"/>
      <w:r w:rsidRPr="00732909">
        <w:rPr>
          <w:color w:val="C00000"/>
        </w:rPr>
        <w:t>=  8</w:t>
      </w:r>
      <w:proofErr w:type="gramEnd"/>
      <w:r w:rsidRPr="00732909">
        <w:rPr>
          <w:color w:val="C00000"/>
        </w:rPr>
        <w:t>,00</w:t>
      </w:r>
    </w:p>
    <w:p w:rsidR="009E1753" w:rsidRDefault="009E1753" w:rsidP="002513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51322" w:rsidRDefault="00251322" w:rsidP="002513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32909">
        <w:rPr>
          <w:rFonts w:ascii="Times New Roman" w:hAnsi="Times New Roman" w:cs="Times New Roman"/>
          <w:sz w:val="26"/>
          <w:szCs w:val="26"/>
        </w:rPr>
        <w:lastRenderedPageBreak/>
        <w:t xml:space="preserve">Задание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51322" w:rsidRDefault="00251322" w:rsidP="00251322">
      <w:pPr>
        <w:pStyle w:val="a4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51322" w:rsidRDefault="00251322" w:rsidP="00251322">
      <w:pPr>
        <w:pStyle w:val="a4"/>
        <w:ind w:left="0"/>
        <w:rPr>
          <w:rFonts w:ascii="Times New Roman" w:hAnsi="Times New Roman" w:cs="Times New Roman"/>
          <w:b/>
          <w:sz w:val="26"/>
          <w:szCs w:val="26"/>
        </w:rPr>
      </w:pPr>
      <w:r w:rsidRPr="00732909">
        <w:rPr>
          <w:rFonts w:ascii="Times New Roman" w:hAnsi="Times New Roman" w:cs="Times New Roman"/>
          <w:b/>
          <w:sz w:val="26"/>
          <w:szCs w:val="26"/>
        </w:rPr>
        <w:t xml:space="preserve"> «Экспресс-анализ деятельности банка на основе обязательных нормативов»</w:t>
      </w:r>
    </w:p>
    <w:p w:rsidR="00251322" w:rsidRPr="00732909" w:rsidRDefault="00251322" w:rsidP="00251322">
      <w:pPr>
        <w:pStyle w:val="a4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4"/>
        <w:gridCol w:w="4999"/>
        <w:gridCol w:w="1392"/>
        <w:gridCol w:w="1003"/>
        <w:gridCol w:w="1003"/>
      </w:tblGrid>
      <w:tr w:rsidR="00251322" w:rsidTr="00455B5A">
        <w:tc>
          <w:tcPr>
            <w:tcW w:w="613" w:type="pct"/>
            <w:shd w:val="clear" w:color="auto" w:fill="BFBFBF" w:themeFill="background1" w:themeFillShade="BF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Норматив</w:t>
            </w:r>
          </w:p>
        </w:tc>
        <w:tc>
          <w:tcPr>
            <w:tcW w:w="2612" w:type="pct"/>
            <w:shd w:val="clear" w:color="auto" w:fill="BFBFBF" w:themeFill="background1" w:themeFillShade="BF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7" w:type="pct"/>
            <w:shd w:val="clear" w:color="auto" w:fill="BFBFBF" w:themeFill="background1" w:themeFillShade="BF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Допустимое значение</w:t>
            </w:r>
          </w:p>
        </w:tc>
        <w:tc>
          <w:tcPr>
            <w:tcW w:w="524" w:type="pct"/>
            <w:shd w:val="clear" w:color="auto" w:fill="BFBFBF" w:themeFill="background1" w:themeFillShade="BF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На 01.08.16</w:t>
            </w:r>
          </w:p>
        </w:tc>
        <w:tc>
          <w:tcPr>
            <w:tcW w:w="524" w:type="pct"/>
            <w:shd w:val="clear" w:color="auto" w:fill="BFBFBF" w:themeFill="background1" w:themeFillShade="BF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На 01.09.16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Н1.0</w:t>
            </w:r>
          </w:p>
        </w:tc>
        <w:tc>
          <w:tcPr>
            <w:tcW w:w="2612" w:type="pct"/>
          </w:tcPr>
          <w:p w:rsidR="00251322" w:rsidRDefault="00251322" w:rsidP="00455B5A">
            <w:pPr>
              <w:jc w:val="both"/>
              <w:rPr>
                <w:b/>
              </w:rPr>
            </w:pPr>
            <w:r>
              <w:t xml:space="preserve">достаточности собственных средств (капитала) 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 w:rsidRPr="006238FE">
              <w:rPr>
                <w:b/>
              </w:rPr>
              <w:t>min</w:t>
            </w:r>
            <w:proofErr w:type="spellEnd"/>
            <w:r w:rsidRPr="006238FE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22,1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82,2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Н2</w:t>
            </w:r>
          </w:p>
        </w:tc>
        <w:tc>
          <w:tcPr>
            <w:tcW w:w="2612" w:type="pct"/>
          </w:tcPr>
          <w:p w:rsidR="00251322" w:rsidRPr="000D6FC8" w:rsidRDefault="00251322" w:rsidP="00455B5A">
            <w:pPr>
              <w:jc w:val="both"/>
            </w:pPr>
            <w:r>
              <w:t>м</w:t>
            </w:r>
            <w:r w:rsidRPr="000D6FC8">
              <w:t>гновенной ликвидности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 w:rsidRPr="006238FE">
              <w:rPr>
                <w:b/>
              </w:rPr>
              <w:t>min</w:t>
            </w:r>
            <w:proofErr w:type="spellEnd"/>
            <w:r w:rsidRPr="006238FE">
              <w:rPr>
                <w:b/>
              </w:rPr>
              <w:t xml:space="preserve"> 1</w:t>
            </w:r>
            <w:r>
              <w:rPr>
                <w:b/>
              </w:rPr>
              <w:t>5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12,7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15,1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Н3</w:t>
            </w:r>
          </w:p>
        </w:tc>
        <w:tc>
          <w:tcPr>
            <w:tcW w:w="2612" w:type="pct"/>
          </w:tcPr>
          <w:p w:rsidR="00251322" w:rsidRPr="000D6FC8" w:rsidRDefault="00251322" w:rsidP="00455B5A">
            <w:pPr>
              <w:jc w:val="both"/>
            </w:pPr>
            <w:r>
              <w:t>т</w:t>
            </w:r>
            <w:r w:rsidRPr="000D6FC8">
              <w:t>екущей ликвидности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 w:rsidRPr="006238FE">
              <w:rPr>
                <w:b/>
              </w:rPr>
              <w:t>min</w:t>
            </w:r>
            <w:proofErr w:type="spellEnd"/>
            <w:r w:rsidRPr="006238FE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6238FE">
              <w:rPr>
                <w:b/>
              </w:rPr>
              <w:t>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85,0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74,4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Н4</w:t>
            </w:r>
          </w:p>
        </w:tc>
        <w:tc>
          <w:tcPr>
            <w:tcW w:w="2612" w:type="pct"/>
          </w:tcPr>
          <w:p w:rsidR="00251322" w:rsidRPr="000D6FC8" w:rsidRDefault="00251322" w:rsidP="00455B5A">
            <w:pPr>
              <w:jc w:val="both"/>
            </w:pPr>
            <w:r>
              <w:t>д</w:t>
            </w:r>
            <w:r w:rsidRPr="000D6FC8">
              <w:t>олгосрочной ликвидности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120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132,0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47,3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Н6</w:t>
            </w:r>
          </w:p>
        </w:tc>
        <w:tc>
          <w:tcPr>
            <w:tcW w:w="2612" w:type="pct"/>
          </w:tcPr>
          <w:p w:rsidR="00251322" w:rsidRDefault="00251322" w:rsidP="00455B5A">
            <w:pPr>
              <w:jc w:val="both"/>
              <w:rPr>
                <w:b/>
              </w:rPr>
            </w:pPr>
            <w:r>
              <w:t>максимального размера риска на одного заемщика или группу связанных заемщиков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</w:t>
            </w:r>
          </w:p>
          <w:p w:rsidR="00251322" w:rsidRDefault="00251322" w:rsidP="00455B5A">
            <w:pPr>
              <w:jc w:val="center"/>
              <w:rPr>
                <w:b/>
              </w:rPr>
            </w:pP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22,0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25,9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Н7</w:t>
            </w:r>
          </w:p>
        </w:tc>
        <w:tc>
          <w:tcPr>
            <w:tcW w:w="2612" w:type="pct"/>
          </w:tcPr>
          <w:p w:rsidR="00251322" w:rsidRDefault="00251322" w:rsidP="00455B5A">
            <w:pPr>
              <w:jc w:val="both"/>
              <w:rPr>
                <w:b/>
              </w:rPr>
            </w:pPr>
            <w:r>
              <w:t>максимального размера крупных кредитных рисков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800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894,0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799,0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Н9.1.</w:t>
            </w:r>
          </w:p>
        </w:tc>
        <w:tc>
          <w:tcPr>
            <w:tcW w:w="2612" w:type="pct"/>
          </w:tcPr>
          <w:p w:rsidR="00251322" w:rsidRDefault="00251322" w:rsidP="00455B5A">
            <w:pPr>
              <w:jc w:val="both"/>
              <w:rPr>
                <w:b/>
              </w:rPr>
            </w:pPr>
            <w:r>
              <w:t>максимального размера кредитов, банковских гарантий и поручительств, предоставленных банком своим участникам (акционерам)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50</w:t>
            </w:r>
          </w:p>
          <w:p w:rsidR="00251322" w:rsidRDefault="00251322" w:rsidP="00455B5A">
            <w:pPr>
              <w:jc w:val="center"/>
              <w:rPr>
                <w:b/>
              </w:rPr>
            </w:pP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62,0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48,0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Н10.1</w:t>
            </w:r>
          </w:p>
        </w:tc>
        <w:tc>
          <w:tcPr>
            <w:tcW w:w="2612" w:type="pct"/>
          </w:tcPr>
          <w:p w:rsidR="00251322" w:rsidRDefault="00251322" w:rsidP="00455B5A">
            <w:pPr>
              <w:jc w:val="both"/>
              <w:rPr>
                <w:b/>
              </w:rPr>
            </w:pPr>
            <w:r>
              <w:t>совокупной величины риска по инсайдерам банка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 w:rsidRPr="00800083">
              <w:rPr>
                <w:b/>
              </w:rPr>
              <w:t>max</w:t>
            </w:r>
            <w:proofErr w:type="spellEnd"/>
            <w:r w:rsidRPr="00800083">
              <w:rPr>
                <w:b/>
              </w:rPr>
              <w:t xml:space="preserve"> 3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2,0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2,9</w:t>
            </w:r>
          </w:p>
        </w:tc>
      </w:tr>
      <w:tr w:rsidR="00251322" w:rsidTr="00455B5A">
        <w:tc>
          <w:tcPr>
            <w:tcW w:w="613" w:type="pct"/>
          </w:tcPr>
          <w:p w:rsidR="00251322" w:rsidRDefault="00251322" w:rsidP="00455B5A">
            <w:pPr>
              <w:jc w:val="center"/>
              <w:rPr>
                <w:b/>
              </w:rPr>
            </w:pPr>
            <w:r>
              <w:rPr>
                <w:b/>
              </w:rPr>
              <w:t>Н12</w:t>
            </w:r>
          </w:p>
        </w:tc>
        <w:tc>
          <w:tcPr>
            <w:tcW w:w="2612" w:type="pct"/>
          </w:tcPr>
          <w:p w:rsidR="00251322" w:rsidRDefault="00251322" w:rsidP="00455B5A">
            <w:pPr>
              <w:jc w:val="both"/>
              <w:rPr>
                <w:b/>
              </w:rPr>
            </w:pPr>
            <w:r>
              <w:t>использования собственных средств (капитала) банков для приобретения акций (долей) других юридических лиц.</w:t>
            </w:r>
          </w:p>
        </w:tc>
        <w:tc>
          <w:tcPr>
            <w:tcW w:w="727" w:type="pct"/>
          </w:tcPr>
          <w:p w:rsidR="00251322" w:rsidRDefault="00251322" w:rsidP="00455B5A">
            <w:pPr>
              <w:jc w:val="center"/>
              <w:rPr>
                <w:b/>
              </w:rPr>
            </w:pPr>
            <w:proofErr w:type="spellStart"/>
            <w:r w:rsidRPr="00461A02">
              <w:rPr>
                <w:b/>
              </w:rPr>
              <w:t>max</w:t>
            </w:r>
            <w:proofErr w:type="spellEnd"/>
            <w:r w:rsidRPr="00461A02">
              <w:rPr>
                <w:b/>
              </w:rPr>
              <w:t xml:space="preserve"> 25</w:t>
            </w:r>
          </w:p>
          <w:p w:rsidR="00251322" w:rsidRDefault="00251322" w:rsidP="00455B5A">
            <w:pPr>
              <w:jc w:val="center"/>
              <w:rPr>
                <w:b/>
              </w:rPr>
            </w:pP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22,0</w:t>
            </w:r>
          </w:p>
        </w:tc>
        <w:tc>
          <w:tcPr>
            <w:tcW w:w="524" w:type="pct"/>
          </w:tcPr>
          <w:p w:rsidR="00251322" w:rsidRPr="002E0AE2" w:rsidRDefault="00251322" w:rsidP="00455B5A">
            <w:pPr>
              <w:jc w:val="center"/>
              <w:rPr>
                <w:b/>
              </w:rPr>
            </w:pPr>
            <w:r w:rsidRPr="002E0AE2">
              <w:rPr>
                <w:b/>
              </w:rPr>
              <w:t>27,0</w:t>
            </w:r>
          </w:p>
        </w:tc>
      </w:tr>
    </w:tbl>
    <w:p w:rsidR="00251322" w:rsidRDefault="00251322" w:rsidP="00251322">
      <w:pPr>
        <w:ind w:firstLine="708"/>
        <w:jc w:val="both"/>
        <w:rPr>
          <w:b/>
        </w:rPr>
      </w:pPr>
    </w:p>
    <w:p w:rsidR="00251322" w:rsidRPr="00732909" w:rsidRDefault="00251322" w:rsidP="00251322">
      <w:pPr>
        <w:ind w:firstLine="708"/>
        <w:jc w:val="both"/>
        <w:rPr>
          <w:b/>
        </w:rPr>
      </w:pPr>
      <w:r>
        <w:rPr>
          <w:b/>
        </w:rPr>
        <w:t>Ответ</w:t>
      </w:r>
      <w:r>
        <w:rPr>
          <w:b/>
          <w:lang w:val="en-US"/>
        </w:rPr>
        <w:t>:</w:t>
      </w:r>
    </w:p>
    <w:p w:rsidR="00251322" w:rsidRPr="00732909" w:rsidRDefault="00251322" w:rsidP="00251322">
      <w:pPr>
        <w:ind w:firstLine="708"/>
        <w:jc w:val="both"/>
        <w:rPr>
          <w:color w:val="C00000"/>
        </w:rPr>
      </w:pPr>
      <w:r>
        <w:rPr>
          <w:color w:val="C00000"/>
        </w:rPr>
        <w:t>Позитивные моменты - п</w:t>
      </w:r>
      <w:r w:rsidRPr="00732909">
        <w:rPr>
          <w:color w:val="C00000"/>
        </w:rPr>
        <w:t xml:space="preserve">ервичный анализ свидетельствует о высоком показателе Н1, который характеризует, казалось бы, растущую </w:t>
      </w:r>
      <w:proofErr w:type="gramStart"/>
      <w:r w:rsidRPr="00732909">
        <w:rPr>
          <w:color w:val="C00000"/>
        </w:rPr>
        <w:t>надежность  банка</w:t>
      </w:r>
      <w:proofErr w:type="gramEnd"/>
      <w:r w:rsidRPr="00732909">
        <w:rPr>
          <w:color w:val="C00000"/>
        </w:rPr>
        <w:t xml:space="preserve"> (с 22,1 до 82,2, темп роста 370%). Однако, не стоит торопиться с оптимистичными выводами, поскольку необходимо сопоставить данные с балансовыми данными на аналогичные даты. Возможно произошло сокращение кредитного портфеля, например, за счет кредитов со сроком </w:t>
      </w:r>
      <w:proofErr w:type="gramStart"/>
      <w:r w:rsidRPr="00732909">
        <w:rPr>
          <w:color w:val="C00000"/>
        </w:rPr>
        <w:t>погашения  свыше</w:t>
      </w:r>
      <w:proofErr w:type="gramEnd"/>
      <w:r w:rsidRPr="00732909">
        <w:rPr>
          <w:color w:val="C00000"/>
        </w:rPr>
        <w:t xml:space="preserve"> 1 года (снижение Н4), крупных кредитов (снижение Н7)  и/или наращивание капитала банка. </w:t>
      </w:r>
    </w:p>
    <w:p w:rsidR="00251322" w:rsidRPr="00732909" w:rsidRDefault="00251322" w:rsidP="00251322">
      <w:pPr>
        <w:ind w:firstLine="708"/>
        <w:jc w:val="both"/>
        <w:rPr>
          <w:color w:val="C00000"/>
        </w:rPr>
      </w:pPr>
      <w:r w:rsidRPr="00732909">
        <w:rPr>
          <w:color w:val="C00000"/>
        </w:rPr>
        <w:t>Негативные моменты - нарушение Н7 на 01.08.16 (8</w:t>
      </w:r>
      <w:r>
        <w:rPr>
          <w:color w:val="C00000"/>
        </w:rPr>
        <w:t>94 при допустимом 800) и близк</w:t>
      </w:r>
      <w:r w:rsidRPr="00FB0B94">
        <w:rPr>
          <w:color w:val="C00000"/>
        </w:rPr>
        <w:t>ое</w:t>
      </w:r>
      <w:r w:rsidRPr="00732909">
        <w:rPr>
          <w:color w:val="C00000"/>
        </w:rPr>
        <w:t xml:space="preserve"> к предельному значение на 01.09.16 (799 при допустимом 800). Вполне возможно, что банк специализируется на обслуживании крупных корпоративных клиентов. Однако, в данном случае возникший повышенный кредитный риск может повлечь за собой ухудшение ликвидной позиции банка.</w:t>
      </w:r>
      <w:r>
        <w:rPr>
          <w:color w:val="C00000"/>
        </w:rPr>
        <w:t xml:space="preserve"> </w:t>
      </w:r>
      <w:r w:rsidRPr="00732909">
        <w:rPr>
          <w:color w:val="C00000"/>
        </w:rPr>
        <w:t xml:space="preserve"> Кроме того, банк </w:t>
      </w:r>
      <w:r>
        <w:rPr>
          <w:color w:val="C00000"/>
        </w:rPr>
        <w:t>злоупотребляет</w:t>
      </w:r>
      <w:r w:rsidRPr="00732909">
        <w:rPr>
          <w:color w:val="C00000"/>
        </w:rPr>
        <w:t xml:space="preserve"> выдачей долгосрочных кредитов либо пролонгацией (реструктуризацией – с</w:t>
      </w:r>
      <w:r>
        <w:rPr>
          <w:color w:val="C00000"/>
        </w:rPr>
        <w:t>крытая проблемная задолженность</w:t>
      </w:r>
      <w:proofErr w:type="gramStart"/>
      <w:r>
        <w:rPr>
          <w:color w:val="C00000"/>
        </w:rPr>
        <w:t xml:space="preserve">), </w:t>
      </w:r>
      <w:r w:rsidRPr="00732909">
        <w:rPr>
          <w:color w:val="C00000"/>
        </w:rPr>
        <w:t xml:space="preserve"> допуская</w:t>
      </w:r>
      <w:proofErr w:type="gramEnd"/>
      <w:r w:rsidRPr="00732909">
        <w:rPr>
          <w:color w:val="C00000"/>
        </w:rPr>
        <w:t xml:space="preserve"> при этом нарушение Н4 (132 при допустимом 120). Возможно это </w:t>
      </w:r>
      <w:r>
        <w:rPr>
          <w:color w:val="C00000"/>
        </w:rPr>
        <w:t>является одной из причин</w:t>
      </w:r>
      <w:r w:rsidRPr="00732909">
        <w:rPr>
          <w:color w:val="C00000"/>
        </w:rPr>
        <w:t xml:space="preserve"> нехватк</w:t>
      </w:r>
      <w:r>
        <w:rPr>
          <w:color w:val="C00000"/>
        </w:rPr>
        <w:t>и</w:t>
      </w:r>
      <w:r w:rsidRPr="00732909">
        <w:rPr>
          <w:color w:val="C00000"/>
        </w:rPr>
        <w:t xml:space="preserve"> ликвидных активов в моменте. Банк приближается к проблемам также благодаря тому, что имеет повышенный кредитный риск в виде кредитов, предоставленных акционерам (Н9.1. при максимально допустимом значении 50 на 01.08. – 62, на 01.09 – 48).</w:t>
      </w:r>
    </w:p>
    <w:p w:rsidR="00251322" w:rsidRDefault="00251322" w:rsidP="00251322">
      <w:pPr>
        <w:ind w:firstLine="708"/>
        <w:jc w:val="both"/>
        <w:rPr>
          <w:color w:val="C00000"/>
        </w:rPr>
      </w:pPr>
      <w:r>
        <w:rPr>
          <w:color w:val="C00000"/>
        </w:rPr>
        <w:t xml:space="preserve"> </w:t>
      </w:r>
      <w:r w:rsidRPr="00FB0B94">
        <w:rPr>
          <w:color w:val="C00000"/>
        </w:rPr>
        <w:t xml:space="preserve">В целом, можно сделать вывод о том, что указанный банк ведет </w:t>
      </w:r>
      <w:proofErr w:type="spellStart"/>
      <w:r w:rsidRPr="00FB0B94">
        <w:rPr>
          <w:color w:val="C00000"/>
        </w:rPr>
        <w:t>высокорисковую</w:t>
      </w:r>
      <w:proofErr w:type="spellEnd"/>
      <w:r w:rsidRPr="00FB0B94">
        <w:rPr>
          <w:color w:val="C00000"/>
        </w:rPr>
        <w:t xml:space="preserve"> кредитную политику, что помимо ухудшения качества активов негативно отражается также  на его  ликвидности.</w:t>
      </w:r>
    </w:p>
    <w:p w:rsidR="00251322" w:rsidRDefault="00251322" w:rsidP="00251322">
      <w:pPr>
        <w:pStyle w:val="a4"/>
        <w:jc w:val="both"/>
        <w:rPr>
          <w:color w:val="C00000"/>
        </w:rPr>
      </w:pPr>
    </w:p>
    <w:p w:rsidR="00251322" w:rsidRPr="00732909" w:rsidRDefault="00251322" w:rsidP="002513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51322" w:rsidRPr="00732909" w:rsidRDefault="00251322" w:rsidP="00251322">
      <w:pPr>
        <w:rPr>
          <w:rFonts w:ascii="Times New Roman" w:hAnsi="Times New Roman" w:cs="Times New Roman"/>
          <w:sz w:val="26"/>
          <w:szCs w:val="26"/>
        </w:rPr>
      </w:pPr>
      <w:r w:rsidRPr="00732909">
        <w:rPr>
          <w:rFonts w:ascii="Times New Roman" w:hAnsi="Times New Roman" w:cs="Times New Roman"/>
          <w:sz w:val="26"/>
          <w:szCs w:val="26"/>
        </w:rPr>
        <w:lastRenderedPageBreak/>
        <w:t xml:space="preserve">Задание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3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322" w:rsidRPr="00732909" w:rsidRDefault="00251322" w:rsidP="00251322">
      <w:pPr>
        <w:rPr>
          <w:rFonts w:ascii="Times New Roman" w:hAnsi="Times New Roman" w:cs="Times New Roman"/>
          <w:b/>
          <w:sz w:val="26"/>
          <w:szCs w:val="26"/>
        </w:rPr>
      </w:pPr>
      <w:r w:rsidRPr="00732909">
        <w:rPr>
          <w:rFonts w:ascii="Times New Roman" w:hAnsi="Times New Roman" w:cs="Times New Roman"/>
          <w:b/>
          <w:sz w:val="26"/>
          <w:szCs w:val="26"/>
        </w:rPr>
        <w:t>«Принятие управленческого решения по результатам расчет-прогноза платежной позиции банка»</w:t>
      </w:r>
    </w:p>
    <w:tbl>
      <w:tblPr>
        <w:tblW w:w="12616" w:type="dxa"/>
        <w:tblInd w:w="-459" w:type="dxa"/>
        <w:tblLook w:val="04A0" w:firstRow="1" w:lastRow="0" w:firstColumn="1" w:lastColumn="0" w:noHBand="0" w:noVBand="1"/>
      </w:tblPr>
      <w:tblGrid>
        <w:gridCol w:w="12616"/>
      </w:tblGrid>
      <w:tr w:rsidR="00251322" w:rsidRPr="003C0167" w:rsidTr="00455B5A">
        <w:trPr>
          <w:trHeight w:val="30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3C016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167">
              <w:rPr>
                <w:rFonts w:ascii="Calibri" w:eastAsia="Times New Roman" w:hAnsi="Calibri" w:cs="Calibri"/>
                <w:color w:val="000000"/>
                <w:lang w:eastAsia="ru-RU"/>
              </w:rPr>
              <w:t>1. Выберите из списка операции, которые должны включаться в расчет платежной позиции Банка</w:t>
            </w:r>
          </w:p>
        </w:tc>
      </w:tr>
      <w:tr w:rsidR="00251322" w:rsidRPr="003C0167" w:rsidTr="00455B5A">
        <w:trPr>
          <w:trHeight w:val="30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3C016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167">
              <w:rPr>
                <w:rFonts w:ascii="Calibri" w:eastAsia="Times New Roman" w:hAnsi="Calibri" w:cs="Calibri"/>
                <w:color w:val="000000"/>
                <w:lang w:eastAsia="ru-RU"/>
              </w:rPr>
              <w:t>2. Определите прогнозное значение платежной позиции банка</w:t>
            </w:r>
          </w:p>
        </w:tc>
      </w:tr>
      <w:tr w:rsidR="00251322" w:rsidRPr="003C0167" w:rsidTr="00455B5A">
        <w:trPr>
          <w:trHeight w:val="30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3C016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167">
              <w:rPr>
                <w:rFonts w:ascii="Calibri" w:eastAsia="Times New Roman" w:hAnsi="Calibri" w:cs="Calibri"/>
                <w:color w:val="000000"/>
                <w:lang w:eastAsia="ru-RU"/>
              </w:rPr>
              <w:t>3. Определите дефицит / избыток ресурсов на конец операционного дня</w:t>
            </w:r>
          </w:p>
        </w:tc>
      </w:tr>
      <w:tr w:rsidR="00251322" w:rsidRPr="003C0167" w:rsidTr="00455B5A">
        <w:trPr>
          <w:trHeight w:val="300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3C016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1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 На основе полученного прогноза дайте рекомендации по эффективному управлению платежной </w:t>
            </w:r>
          </w:p>
          <w:p w:rsidR="00251322" w:rsidRPr="003C016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167">
              <w:rPr>
                <w:rFonts w:ascii="Calibri" w:eastAsia="Times New Roman" w:hAnsi="Calibri" w:cs="Calibri"/>
                <w:color w:val="000000"/>
                <w:lang w:eastAsia="ru-RU"/>
              </w:rPr>
              <w:t>позицией банка</w:t>
            </w:r>
          </w:p>
        </w:tc>
      </w:tr>
    </w:tbl>
    <w:p w:rsidR="00251322" w:rsidRPr="003C0167" w:rsidRDefault="00251322" w:rsidP="00251322"/>
    <w:p w:rsidR="00251322" w:rsidRDefault="00251322" w:rsidP="00251322">
      <w:pPr>
        <w:spacing w:after="0" w:line="240" w:lineRule="auto"/>
        <w:ind w:left="-426"/>
      </w:pPr>
      <w:r w:rsidRPr="003C0167">
        <w:t xml:space="preserve">Остаток на </w:t>
      </w:r>
      <w:proofErr w:type="spellStart"/>
      <w:r w:rsidRPr="003C0167">
        <w:t>корр</w:t>
      </w:r>
      <w:proofErr w:type="spellEnd"/>
      <w:r w:rsidRPr="003C0167">
        <w:t>/</w:t>
      </w:r>
      <w:proofErr w:type="spellStart"/>
      <w:r w:rsidRPr="003C0167">
        <w:t>сч</w:t>
      </w:r>
      <w:proofErr w:type="spellEnd"/>
      <w:r w:rsidRPr="003C0167">
        <w:t xml:space="preserve"> Банка на начало операционного дня – 50 000 </w:t>
      </w:r>
      <w:proofErr w:type="spellStart"/>
      <w:r w:rsidRPr="003C0167">
        <w:t>тыс.р</w:t>
      </w:r>
      <w:r>
        <w:t>уб</w:t>
      </w:r>
      <w:proofErr w:type="spellEnd"/>
      <w:r>
        <w:t>.</w:t>
      </w:r>
    </w:p>
    <w:p w:rsidR="00251322" w:rsidRDefault="00251322" w:rsidP="00251322">
      <w:pPr>
        <w:spacing w:after="0" w:line="240" w:lineRule="auto"/>
      </w:pPr>
    </w:p>
    <w:p w:rsidR="00251322" w:rsidRDefault="00251322" w:rsidP="00251322">
      <w:pPr>
        <w:spacing w:after="0" w:line="240" w:lineRule="auto"/>
        <w:ind w:left="-426"/>
      </w:pPr>
      <w:r>
        <w:t xml:space="preserve">Минимально допустимый остаток на </w:t>
      </w:r>
      <w:proofErr w:type="spellStart"/>
      <w:r>
        <w:t>корр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(согласно внутреннего Порядка Банка для поддержания среднего остатка на </w:t>
      </w:r>
      <w:proofErr w:type="spellStart"/>
      <w:r>
        <w:t>корр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в целях применения права на усреднение ФОР) – 40 000 </w:t>
      </w:r>
      <w:proofErr w:type="spellStart"/>
      <w:r>
        <w:t>тыс.руб</w:t>
      </w:r>
      <w:proofErr w:type="spellEnd"/>
      <w:r>
        <w:t>.</w:t>
      </w:r>
    </w:p>
    <w:p w:rsidR="00251322" w:rsidRDefault="00251322" w:rsidP="00251322">
      <w:pPr>
        <w:spacing w:after="0" w:line="240" w:lineRule="auto"/>
        <w:ind w:left="-426"/>
      </w:pPr>
    </w:p>
    <w:p w:rsidR="00251322" w:rsidRDefault="00251322" w:rsidP="00251322">
      <w:pPr>
        <w:spacing w:after="0" w:line="240" w:lineRule="auto"/>
        <w:ind w:left="-426"/>
      </w:pPr>
    </w:p>
    <w:tbl>
      <w:tblPr>
        <w:tblpPr w:leftFromText="180" w:rightFromText="180" w:vertAnchor="text" w:horzAnchor="margin" w:tblpXSpec="center" w:tblpY="187"/>
        <w:tblW w:w="5166" w:type="pct"/>
        <w:tblLook w:val="04A0" w:firstRow="1" w:lastRow="0" w:firstColumn="1" w:lastColumn="0" w:noHBand="0" w:noVBand="1"/>
      </w:tblPr>
      <w:tblGrid>
        <w:gridCol w:w="1410"/>
        <w:gridCol w:w="9296"/>
        <w:gridCol w:w="2985"/>
      </w:tblGrid>
      <w:tr w:rsidR="00251322" w:rsidRPr="001B2097" w:rsidTr="00455B5A">
        <w:trPr>
          <w:trHeight w:val="30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№ операции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операции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ind w:right="13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сумма, 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выдача кредита ООО "Вперед"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5 000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депозита ОАО "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ТрансМаг</w:t>
            </w:r>
            <w:proofErr w:type="spellEnd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1 000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пополнение кассы наличными денежными средствами по заявкам клиентов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13 000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плановое погашение кредитов 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физ.лиц</w:t>
            </w:r>
            <w:proofErr w:type="spellEnd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графику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3 000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ежедневное начисление процентов по депозитам 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юрид</w:t>
            </w:r>
            <w:proofErr w:type="spellEnd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и 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физ.лиц</w:t>
            </w:r>
            <w:proofErr w:type="spellEnd"/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150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ежедневное начисление процентов по кредитам 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юрид</w:t>
            </w:r>
            <w:proofErr w:type="spellEnd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и 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физ.лиц</w:t>
            </w:r>
            <w:proofErr w:type="spellEnd"/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привлеченного межбанковского займа ОАО "Авангард"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4 000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оборудования по лизинговой сделке (Банк "Х" - лизингодатель")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выдача транша в рамках кредитной линии ООО "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Финанс</w:t>
            </w:r>
            <w:proofErr w:type="spellEnd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-М"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создание резерва на возможные потери по ссудам 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1 500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оплата офисной мебели для бухгалтерии Банка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покупка ОФЗ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5 000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продажа драгоценных монет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перечисление денежных средств в фонд обязательных резервов, депонируемых в Банке России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оплата кредиторам за ремонтные работы в филиале Банка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180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оплата платежных документов поставщика по 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факторинговым</w:t>
            </w:r>
            <w:proofErr w:type="spellEnd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операциям (Банк -фактор)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600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выдача банковской гарантии ОАО "</w:t>
            </w:r>
            <w:proofErr w:type="spellStart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Итек</w:t>
            </w:r>
            <w:proofErr w:type="spellEnd"/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10 000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среднедневные поступления на расчетные счета клиентов ЮЛ со счетов в других банках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500 000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среднедневные списания с расчетных счетов клиентов ЮЛ путем перечисления в другие банки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450 000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среднедневные списания с расчетных счетов клиентов ЮЛ  на счета клиентов внутри Банка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20 000   </w:t>
            </w:r>
          </w:p>
        </w:tc>
      </w:tr>
      <w:tr w:rsidR="00251322" w:rsidRPr="001B2097" w:rsidTr="00455B5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>возможные крупные списания со счетов ЮЛ (по информации клиентов) в другие банки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22" w:rsidRPr="001B2097" w:rsidRDefault="00251322" w:rsidP="0045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60 000   </w:t>
            </w:r>
          </w:p>
        </w:tc>
      </w:tr>
    </w:tbl>
    <w:p w:rsidR="00251322" w:rsidRDefault="00251322" w:rsidP="00251322">
      <w:pPr>
        <w:spacing w:after="0" w:line="240" w:lineRule="auto"/>
      </w:pPr>
    </w:p>
    <w:p w:rsidR="00251322" w:rsidRDefault="00251322" w:rsidP="00251322">
      <w:pPr>
        <w:pStyle w:val="a4"/>
      </w:pPr>
      <w:r w:rsidRPr="00A83F50">
        <w:rPr>
          <w:b/>
        </w:rPr>
        <w:t>Ответ</w:t>
      </w:r>
      <w:r w:rsidRPr="00A83F50">
        <w:t>:</w:t>
      </w:r>
      <w:r>
        <w:t xml:space="preserve"> </w:t>
      </w:r>
    </w:p>
    <w:p w:rsidR="00251322" w:rsidRPr="00732909" w:rsidRDefault="00251322" w:rsidP="00251322">
      <w:pPr>
        <w:pStyle w:val="a4"/>
        <w:ind w:left="0"/>
        <w:rPr>
          <w:color w:val="C00000"/>
        </w:rPr>
      </w:pPr>
      <w:r w:rsidRPr="00732909">
        <w:rPr>
          <w:b/>
          <w:color w:val="C00000"/>
        </w:rPr>
        <w:t>П</w:t>
      </w:r>
      <w:r w:rsidRPr="00732909">
        <w:rPr>
          <w:color w:val="C00000"/>
        </w:rPr>
        <w:t xml:space="preserve">рогноз остатка на </w:t>
      </w:r>
      <w:proofErr w:type="gramStart"/>
      <w:r w:rsidRPr="00732909">
        <w:rPr>
          <w:color w:val="C00000"/>
        </w:rPr>
        <w:t xml:space="preserve">конец  </w:t>
      </w:r>
      <w:proofErr w:type="spellStart"/>
      <w:r w:rsidRPr="00732909">
        <w:rPr>
          <w:color w:val="C00000"/>
        </w:rPr>
        <w:t>опер</w:t>
      </w:r>
      <w:proofErr w:type="gramEnd"/>
      <w:r w:rsidRPr="00732909">
        <w:rPr>
          <w:color w:val="C00000"/>
        </w:rPr>
        <w:t>.дня</w:t>
      </w:r>
      <w:proofErr w:type="spellEnd"/>
      <w:r w:rsidRPr="00732909">
        <w:rPr>
          <w:color w:val="C00000"/>
        </w:rPr>
        <w:t xml:space="preserve"> – дефицит  в размере 26 680 </w:t>
      </w:r>
      <w:proofErr w:type="spellStart"/>
      <w:r w:rsidRPr="00732909">
        <w:rPr>
          <w:color w:val="C00000"/>
        </w:rPr>
        <w:t>тыс.руб</w:t>
      </w:r>
      <w:proofErr w:type="spellEnd"/>
      <w:r w:rsidRPr="00732909">
        <w:rPr>
          <w:color w:val="C00000"/>
        </w:rPr>
        <w:t xml:space="preserve">.  </w:t>
      </w:r>
    </w:p>
    <w:p w:rsidR="00251322" w:rsidRPr="00732909" w:rsidRDefault="00251322" w:rsidP="00251322">
      <w:pPr>
        <w:pStyle w:val="a4"/>
        <w:ind w:left="0"/>
        <w:rPr>
          <w:color w:val="C00000"/>
        </w:rPr>
      </w:pPr>
      <w:r w:rsidRPr="00732909">
        <w:rPr>
          <w:color w:val="C00000"/>
        </w:rPr>
        <w:t>Возможные источники привлечения ресурсов:</w:t>
      </w:r>
    </w:p>
    <w:p w:rsidR="00251322" w:rsidRPr="00732909" w:rsidRDefault="00251322" w:rsidP="00251322">
      <w:pPr>
        <w:pStyle w:val="a4"/>
        <w:ind w:left="0"/>
        <w:rPr>
          <w:color w:val="C00000"/>
        </w:rPr>
      </w:pPr>
      <w:r w:rsidRPr="00732909">
        <w:rPr>
          <w:color w:val="C00000"/>
        </w:rPr>
        <w:t>– межбанковские займы;</w:t>
      </w:r>
    </w:p>
    <w:p w:rsidR="00251322" w:rsidRPr="00732909" w:rsidRDefault="00251322" w:rsidP="00251322">
      <w:pPr>
        <w:pStyle w:val="a4"/>
        <w:ind w:left="0"/>
        <w:rPr>
          <w:color w:val="C00000"/>
        </w:rPr>
      </w:pPr>
      <w:r w:rsidRPr="00732909">
        <w:rPr>
          <w:color w:val="C00000"/>
        </w:rPr>
        <w:t>- Кредиты  Банка России (овернайт);</w:t>
      </w:r>
    </w:p>
    <w:p w:rsidR="00251322" w:rsidRDefault="00251322" w:rsidP="00251322">
      <w:pPr>
        <w:pStyle w:val="a4"/>
        <w:ind w:left="0"/>
        <w:rPr>
          <w:color w:val="C00000"/>
        </w:rPr>
      </w:pPr>
      <w:r w:rsidRPr="00732909">
        <w:rPr>
          <w:color w:val="C00000"/>
        </w:rPr>
        <w:t>- отсрочка размещения ресурсов в активы (отложить выдачу кредитов, покупку ценных бумаг  и т.д.).</w:t>
      </w:r>
    </w:p>
    <w:p w:rsidR="00251322" w:rsidRPr="00732909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9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251322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Определите </w:t>
      </w:r>
      <w:r w:rsidRPr="008E242D">
        <w:rPr>
          <w:rFonts w:ascii="Times New Roman" w:hAnsi="Times New Roman" w:cs="Times New Roman"/>
          <w:sz w:val="26"/>
          <w:szCs w:val="26"/>
        </w:rPr>
        <w:t xml:space="preserve"> меры финансового оздоровления </w:t>
      </w:r>
      <w:r>
        <w:rPr>
          <w:rFonts w:ascii="Times New Roman" w:hAnsi="Times New Roman" w:cs="Times New Roman"/>
          <w:sz w:val="26"/>
          <w:szCs w:val="26"/>
        </w:rPr>
        <w:t xml:space="preserve">при угрозе </w:t>
      </w:r>
      <w:r w:rsidRPr="008E242D">
        <w:rPr>
          <w:rFonts w:ascii="Times New Roman" w:hAnsi="Times New Roman" w:cs="Times New Roman"/>
          <w:sz w:val="26"/>
          <w:szCs w:val="26"/>
        </w:rPr>
        <w:t>финансовому состоянию кредитной организации</w:t>
      </w:r>
      <w:r w:rsidRPr="002525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результате ухудшения ликвидной позиции банка.</w:t>
      </w:r>
    </w:p>
    <w:p w:rsidR="00251322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работы занесите в схему.</w:t>
      </w:r>
    </w:p>
    <w:p w:rsidR="00251322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322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909"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 выделен </w:t>
      </w:r>
      <w:r w:rsidRPr="00732909">
        <w:rPr>
          <w:rFonts w:ascii="Times New Roman" w:hAnsi="Times New Roman" w:cs="Times New Roman"/>
          <w:b/>
          <w:color w:val="C00000"/>
          <w:sz w:val="26"/>
          <w:szCs w:val="26"/>
        </w:rPr>
        <w:t>красным цветом</w:t>
      </w:r>
      <w:r w:rsidRPr="00732909">
        <w:rPr>
          <w:rFonts w:ascii="Times New Roman" w:hAnsi="Times New Roman" w:cs="Times New Roman"/>
          <w:color w:val="C00000"/>
          <w:sz w:val="26"/>
          <w:szCs w:val="26"/>
        </w:rPr>
        <w:t>.</w:t>
      </w:r>
    </w:p>
    <w:p w:rsidR="00251322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322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72511606" wp14:editId="2BC6D639">
            <wp:extent cx="5943600" cy="5162550"/>
            <wp:effectExtent l="19050" t="38100" r="19050" b="952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51322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322" w:rsidRDefault="00251322" w:rsidP="002513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87C" w:rsidRDefault="006F687C"/>
    <w:sectPr w:rsidR="006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22"/>
    <w:rsid w:val="00251322"/>
    <w:rsid w:val="006F687C"/>
    <w:rsid w:val="007B61B6"/>
    <w:rsid w:val="009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E5C6"/>
  <w15:docId w15:val="{92F7B29E-B5A5-4012-B939-DC421C57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212687-61F5-4225-9E05-E6B3FCE0472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C8A1D31-3BEC-476E-B9D6-3F63547336D5}">
      <dgm:prSet phldrT="[Текст]" custT="1"/>
      <dgm:spPr>
        <a:xfrm>
          <a:off x="0" y="-46804"/>
          <a:ext cx="4754880" cy="1135761"/>
        </a:xfrm>
        <a:solidFill>
          <a:srgbClr val="9BBB59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Угроза</a:t>
          </a:r>
          <a:r>
            <a:rPr lang="ru-RU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– ухудшение ликвидной позиции банка</a:t>
          </a:r>
        </a:p>
      </dgm:t>
    </dgm:pt>
    <dgm:pt modelId="{40A1403F-30B3-45DC-839C-58E01DB69457}" type="parTrans" cxnId="{E5A3239D-C5E6-4F0D-A3FC-923E18B9A3FE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FB08C9B5-E6EE-4CF5-8E5B-E4D67FED8FB5}" type="sibTrans" cxnId="{E5A3239D-C5E6-4F0D-A3FC-923E18B9A3FE}">
      <dgm:prSet custT="1"/>
      <dgm:spPr>
        <a:xfrm>
          <a:off x="4016635" y="823084"/>
          <a:ext cx="738244" cy="73824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46A9D28-B26F-4334-9350-3C9A69B00D4B}">
      <dgm:prSet phldrT="[Текст]" custT="1"/>
      <dgm:spPr>
        <a:xfrm>
          <a:off x="196067" y="1295458"/>
          <a:ext cx="5159187" cy="1135761"/>
        </a:xfrm>
        <a:solidFill>
          <a:srgbClr val="9BBB59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</a:t>
          </a:r>
          <a:r>
            <a:rPr lang="ru-RU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для устранения угрозы – </a:t>
          </a:r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достижение сбалансированности активов и пассивов банка по срокам погашения</a:t>
          </a:r>
        </a:p>
      </dgm:t>
    </dgm:pt>
    <dgm:pt modelId="{85E28C3A-41CA-4A80-B066-6C3B0CF09C9E}" type="parTrans" cxnId="{457092E1-52CD-45E4-8835-3ABFD28A37B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08DABCA9-96D1-4C9A-82BD-42A29AD7969B}" type="sibTrans" cxnId="{457092E1-52CD-45E4-8835-3ABFD28A37BA}">
      <dgm:prSet custT="1"/>
      <dgm:spPr>
        <a:xfrm>
          <a:off x="4414856" y="2165347"/>
          <a:ext cx="738244" cy="73824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C95411B-38E6-4276-9CE6-EF9E1FA88848}">
      <dgm:prSet phldrT="[Текст]" custT="1"/>
      <dgm:spPr>
        <a:xfrm>
          <a:off x="546882" y="2528671"/>
          <a:ext cx="5242112" cy="1353861"/>
        </a:xfrm>
        <a:solidFill>
          <a:srgbClr val="9BBB59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Меры</a:t>
          </a:r>
          <a:r>
            <a:rPr lang="ru-RU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фин.оздоровления  - </a:t>
          </a:r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изменение структуры активов и пассивов</a:t>
          </a:r>
        </a:p>
        <a:p>
          <a:r>
            <a:rPr lang="en-US" sz="1100">
              <a:solidFill>
                <a:srgbClr val="C00000"/>
              </a:solidFill>
              <a:latin typeface="Calibri"/>
              <a:ea typeface="+mn-ea"/>
              <a:cs typeface="+mn-cs"/>
            </a:rPr>
            <a:t>1</a:t>
          </a:r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. увеличение доли высоколиквидных активов (МБК, ценные бумаги для продажи и т.д.)</a:t>
          </a:r>
        </a:p>
        <a:p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2. пересмотр кредитной политики </a:t>
          </a:r>
        </a:p>
        <a:p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3. снижение доли  "коротких" обязательств </a:t>
          </a:r>
        </a:p>
      </dgm:t>
    </dgm:pt>
    <dgm:pt modelId="{E1DC7D73-EC25-4E91-83DE-B1B8B90C1650}" type="parTrans" cxnId="{297262D7-66BA-497D-8AD5-C1D6E11E184E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825878D1-33D6-473A-A807-DC5EF39D134E}" type="sibTrans" cxnId="{297262D7-66BA-497D-8AD5-C1D6E11E184E}">
      <dgm:prSet custT="1"/>
      <dgm:spPr>
        <a:xfrm>
          <a:off x="4807134" y="3507610"/>
          <a:ext cx="738244" cy="73824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01615C3-33CA-4C35-A492-2055D2AA55FD}">
      <dgm:prSet phldrT="[Текст]" custT="1"/>
      <dgm:spPr>
        <a:xfrm>
          <a:off x="1188719" y="3886374"/>
          <a:ext cx="4754880" cy="1322979"/>
        </a:xfrm>
        <a:solidFill>
          <a:srgbClr val="9BBB59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Способы</a:t>
          </a:r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:</a:t>
          </a:r>
          <a:endParaRPr lang="ru-RU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ru-RU" sz="1100">
              <a:solidFill>
                <a:srgbClr val="FF0000"/>
              </a:solidFill>
              <a:latin typeface="Calibri"/>
              <a:ea typeface="+mn-ea"/>
              <a:cs typeface="+mn-cs"/>
            </a:rPr>
            <a:t>1. </a:t>
          </a:r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переориентация с инвестиционного портфеля  ценных бумаг в портфель "для продажи"</a:t>
          </a:r>
        </a:p>
        <a:p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2. лимитирование "длинных" кредитов</a:t>
          </a:r>
        </a:p>
        <a:p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3. пересмотр условий по депозитам  (более привлекательные условия  для долгосрочных вкладов и депозитов)</a:t>
          </a:r>
        </a:p>
      </dgm:t>
    </dgm:pt>
    <dgm:pt modelId="{925DFF94-8E95-4C3E-82AD-E0FBADC377CC}" type="parTrans" cxnId="{68905399-5761-4C88-A621-E9E19C011586}">
      <dgm:prSet/>
      <dgm:spPr/>
      <dgm:t>
        <a:bodyPr/>
        <a:lstStyle/>
        <a:p>
          <a:endParaRPr lang="ru-RU" sz="1100"/>
        </a:p>
      </dgm:t>
    </dgm:pt>
    <dgm:pt modelId="{3DC99B31-B6AF-40E2-846A-D6E7F23990D6}" type="sibTrans" cxnId="{68905399-5761-4C88-A621-E9E19C011586}">
      <dgm:prSet/>
      <dgm:spPr/>
      <dgm:t>
        <a:bodyPr/>
        <a:lstStyle/>
        <a:p>
          <a:endParaRPr lang="ru-RU" sz="1100"/>
        </a:p>
      </dgm:t>
    </dgm:pt>
    <dgm:pt modelId="{0454DB66-9C63-46B2-A7AD-DA30C0E92781}" type="pres">
      <dgm:prSet presAssocID="{15212687-61F5-4225-9E05-E6B3FCE0472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D3B201-D51C-4667-B0F7-D62B6E4B5FF3}" type="pres">
      <dgm:prSet presAssocID="{15212687-61F5-4225-9E05-E6B3FCE0472D}" presName="dummyMaxCanvas" presStyleCnt="0">
        <dgm:presLayoutVars/>
      </dgm:prSet>
      <dgm:spPr/>
    </dgm:pt>
    <dgm:pt modelId="{3DA2B75F-745E-473B-9717-B27C2CAFAA6D}" type="pres">
      <dgm:prSet presAssocID="{15212687-61F5-4225-9E05-E6B3FCE0472D}" presName="FourNodes_1" presStyleLbl="node1" presStyleIdx="0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C03E8AB-235D-4A07-B6F2-0712A4A652B5}" type="pres">
      <dgm:prSet presAssocID="{15212687-61F5-4225-9E05-E6B3FCE0472D}" presName="FourNodes_2" presStyleLbl="node1" presStyleIdx="1" presStyleCnt="4" custScaleX="10850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A7B9E5-0219-4AEC-B578-2F67B5C5E2F3}" type="pres">
      <dgm:prSet presAssocID="{15212687-61F5-4225-9E05-E6B3FCE0472D}" presName="FourNodes_3" presStyleLbl="node1" presStyleIdx="2" presStyleCnt="4" custScaleX="110247" custScaleY="11920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CA57788-59B9-43D4-AFF2-F7CEC5726E41}" type="pres">
      <dgm:prSet presAssocID="{15212687-61F5-4225-9E05-E6B3FCE0472D}" presName="FourNodes_4" presStyleLbl="node1" presStyleIdx="3" presStyleCnt="4" custScaleY="1164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D803FC4-9EF5-4B2F-93A8-ACDB0DFDC118}" type="pres">
      <dgm:prSet presAssocID="{15212687-61F5-4225-9E05-E6B3FCE0472D}" presName="FourConn_1-2" presStyleLbl="fgAccFollowNode1" presStyleIdx="0" presStyleCnt="3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280EA33F-F15E-4398-A092-BE2CC5887783}" type="pres">
      <dgm:prSet presAssocID="{15212687-61F5-4225-9E05-E6B3FCE0472D}" presName="FourConn_2-3" presStyleLbl="fgAccFollowNode1" presStyleIdx="1" presStyleCnt="3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B898B341-A47C-44FD-9465-E9003264B5CA}" type="pres">
      <dgm:prSet presAssocID="{15212687-61F5-4225-9E05-E6B3FCE0472D}" presName="FourConn_3-4" presStyleLbl="fgAccFollowNode1" presStyleIdx="2" presStyleCnt="3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DF8DC279-A251-4F2D-B7F7-AF47B09BC5E1}" type="pres">
      <dgm:prSet presAssocID="{15212687-61F5-4225-9E05-E6B3FCE0472D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6B6E04-C239-4A78-8DF5-E636379D87CF}" type="pres">
      <dgm:prSet presAssocID="{15212687-61F5-4225-9E05-E6B3FCE0472D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725C61-27B4-48BD-BDA1-D0276F28E8AF}" type="pres">
      <dgm:prSet presAssocID="{15212687-61F5-4225-9E05-E6B3FCE0472D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A96FED-95F4-40B3-B73A-C9E0D94744D2}" type="pres">
      <dgm:prSet presAssocID="{15212687-61F5-4225-9E05-E6B3FCE0472D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B14822-B4D3-4FFB-8EE5-11ED4B039796}" type="presOf" srcId="{FC95411B-38E6-4276-9CE6-EF9E1FA88848}" destId="{A0A7B9E5-0219-4AEC-B578-2F67B5C5E2F3}" srcOrd="0" destOrd="0" presId="urn:microsoft.com/office/officeart/2005/8/layout/vProcess5"/>
    <dgm:cxn modelId="{089789F4-8B74-4625-8308-C575F561BE1C}" type="presOf" srcId="{0C8A1D31-3BEC-476E-B9D6-3F63547336D5}" destId="{3DA2B75F-745E-473B-9717-B27C2CAFAA6D}" srcOrd="0" destOrd="0" presId="urn:microsoft.com/office/officeart/2005/8/layout/vProcess5"/>
    <dgm:cxn modelId="{B5AF0F9A-FCDB-4802-A857-5907ED01D8B2}" type="presOf" srcId="{FB08C9B5-E6EE-4CF5-8E5B-E4D67FED8FB5}" destId="{4D803FC4-9EF5-4B2F-93A8-ACDB0DFDC118}" srcOrd="0" destOrd="0" presId="urn:microsoft.com/office/officeart/2005/8/layout/vProcess5"/>
    <dgm:cxn modelId="{197BF063-26E2-44D4-BE3D-45C22E35A88D}" type="presOf" srcId="{15212687-61F5-4225-9E05-E6B3FCE0472D}" destId="{0454DB66-9C63-46B2-A7AD-DA30C0E92781}" srcOrd="0" destOrd="0" presId="urn:microsoft.com/office/officeart/2005/8/layout/vProcess5"/>
    <dgm:cxn modelId="{E5A3239D-C5E6-4F0D-A3FC-923E18B9A3FE}" srcId="{15212687-61F5-4225-9E05-E6B3FCE0472D}" destId="{0C8A1D31-3BEC-476E-B9D6-3F63547336D5}" srcOrd="0" destOrd="0" parTransId="{40A1403F-30B3-45DC-839C-58E01DB69457}" sibTransId="{FB08C9B5-E6EE-4CF5-8E5B-E4D67FED8FB5}"/>
    <dgm:cxn modelId="{2897AD3B-46C5-400F-A67B-8980D2F48629}" type="presOf" srcId="{FC95411B-38E6-4276-9CE6-EF9E1FA88848}" destId="{A8725C61-27B4-48BD-BDA1-D0276F28E8AF}" srcOrd="1" destOrd="0" presId="urn:microsoft.com/office/officeart/2005/8/layout/vProcess5"/>
    <dgm:cxn modelId="{68905399-5761-4C88-A621-E9E19C011586}" srcId="{15212687-61F5-4225-9E05-E6B3FCE0472D}" destId="{501615C3-33CA-4C35-A492-2055D2AA55FD}" srcOrd="3" destOrd="0" parTransId="{925DFF94-8E95-4C3E-82AD-E0FBADC377CC}" sibTransId="{3DC99B31-B6AF-40E2-846A-D6E7F23990D6}"/>
    <dgm:cxn modelId="{457092E1-52CD-45E4-8835-3ABFD28A37BA}" srcId="{15212687-61F5-4225-9E05-E6B3FCE0472D}" destId="{146A9D28-B26F-4334-9350-3C9A69B00D4B}" srcOrd="1" destOrd="0" parTransId="{85E28C3A-41CA-4A80-B066-6C3B0CF09C9E}" sibTransId="{08DABCA9-96D1-4C9A-82BD-42A29AD7969B}"/>
    <dgm:cxn modelId="{CA9B459D-E827-4809-9F06-823C1A5434A7}" type="presOf" srcId="{501615C3-33CA-4C35-A492-2055D2AA55FD}" destId="{B4A96FED-95F4-40B3-B73A-C9E0D94744D2}" srcOrd="1" destOrd="0" presId="urn:microsoft.com/office/officeart/2005/8/layout/vProcess5"/>
    <dgm:cxn modelId="{297262D7-66BA-497D-8AD5-C1D6E11E184E}" srcId="{15212687-61F5-4225-9E05-E6B3FCE0472D}" destId="{FC95411B-38E6-4276-9CE6-EF9E1FA88848}" srcOrd="2" destOrd="0" parTransId="{E1DC7D73-EC25-4E91-83DE-B1B8B90C1650}" sibTransId="{825878D1-33D6-473A-A807-DC5EF39D134E}"/>
    <dgm:cxn modelId="{A4B76DE4-0D7A-4BCA-95F5-73CD962B49D4}" type="presOf" srcId="{501615C3-33CA-4C35-A492-2055D2AA55FD}" destId="{7CA57788-59B9-43D4-AFF2-F7CEC5726E41}" srcOrd="0" destOrd="0" presId="urn:microsoft.com/office/officeart/2005/8/layout/vProcess5"/>
    <dgm:cxn modelId="{0D774832-7F2B-4A06-BB40-0966D873DAC6}" type="presOf" srcId="{08DABCA9-96D1-4C9A-82BD-42A29AD7969B}" destId="{280EA33F-F15E-4398-A092-BE2CC5887783}" srcOrd="0" destOrd="0" presId="urn:microsoft.com/office/officeart/2005/8/layout/vProcess5"/>
    <dgm:cxn modelId="{933AFE0C-1BCF-4E5C-9997-9351F4F2AC54}" type="presOf" srcId="{146A9D28-B26F-4334-9350-3C9A69B00D4B}" destId="{636B6E04-C239-4A78-8DF5-E636379D87CF}" srcOrd="1" destOrd="0" presId="urn:microsoft.com/office/officeart/2005/8/layout/vProcess5"/>
    <dgm:cxn modelId="{3EF42C77-8AA3-4EDD-81A8-F56E2BB9F8C2}" type="presOf" srcId="{0C8A1D31-3BEC-476E-B9D6-3F63547336D5}" destId="{DF8DC279-A251-4F2D-B7F7-AF47B09BC5E1}" srcOrd="1" destOrd="0" presId="urn:microsoft.com/office/officeart/2005/8/layout/vProcess5"/>
    <dgm:cxn modelId="{0E8B02EA-C8E4-4522-B3F0-6DF2E4FD7F28}" type="presOf" srcId="{146A9D28-B26F-4334-9350-3C9A69B00D4B}" destId="{2C03E8AB-235D-4A07-B6F2-0712A4A652B5}" srcOrd="0" destOrd="0" presId="urn:microsoft.com/office/officeart/2005/8/layout/vProcess5"/>
    <dgm:cxn modelId="{D0E4BB43-E08B-46A2-A6F6-3A54B1120572}" type="presOf" srcId="{825878D1-33D6-473A-A807-DC5EF39D134E}" destId="{B898B341-A47C-44FD-9465-E9003264B5CA}" srcOrd="0" destOrd="0" presId="urn:microsoft.com/office/officeart/2005/8/layout/vProcess5"/>
    <dgm:cxn modelId="{5AB5EBCB-228F-4647-9734-62313CA22359}" type="presParOf" srcId="{0454DB66-9C63-46B2-A7AD-DA30C0E92781}" destId="{99D3B201-D51C-4667-B0F7-D62B6E4B5FF3}" srcOrd="0" destOrd="0" presId="urn:microsoft.com/office/officeart/2005/8/layout/vProcess5"/>
    <dgm:cxn modelId="{6880AE5E-2921-4414-BAE0-CFDB8D727D95}" type="presParOf" srcId="{0454DB66-9C63-46B2-A7AD-DA30C0E92781}" destId="{3DA2B75F-745E-473B-9717-B27C2CAFAA6D}" srcOrd="1" destOrd="0" presId="urn:microsoft.com/office/officeart/2005/8/layout/vProcess5"/>
    <dgm:cxn modelId="{C245B22C-B0DE-4A48-858C-E1762DAAF9AD}" type="presParOf" srcId="{0454DB66-9C63-46B2-A7AD-DA30C0E92781}" destId="{2C03E8AB-235D-4A07-B6F2-0712A4A652B5}" srcOrd="2" destOrd="0" presId="urn:microsoft.com/office/officeart/2005/8/layout/vProcess5"/>
    <dgm:cxn modelId="{D72AA3DE-4EB5-492A-AAB6-0608C0913F0F}" type="presParOf" srcId="{0454DB66-9C63-46B2-A7AD-DA30C0E92781}" destId="{A0A7B9E5-0219-4AEC-B578-2F67B5C5E2F3}" srcOrd="3" destOrd="0" presId="urn:microsoft.com/office/officeart/2005/8/layout/vProcess5"/>
    <dgm:cxn modelId="{65919EF4-7BE8-4625-8418-AD7854A1EF32}" type="presParOf" srcId="{0454DB66-9C63-46B2-A7AD-DA30C0E92781}" destId="{7CA57788-59B9-43D4-AFF2-F7CEC5726E41}" srcOrd="4" destOrd="0" presId="urn:microsoft.com/office/officeart/2005/8/layout/vProcess5"/>
    <dgm:cxn modelId="{460A0F86-4A66-4CBF-9769-FE08750CFCFC}" type="presParOf" srcId="{0454DB66-9C63-46B2-A7AD-DA30C0E92781}" destId="{4D803FC4-9EF5-4B2F-93A8-ACDB0DFDC118}" srcOrd="5" destOrd="0" presId="urn:microsoft.com/office/officeart/2005/8/layout/vProcess5"/>
    <dgm:cxn modelId="{F346F789-3C8D-4DFB-8D50-EC28588D803F}" type="presParOf" srcId="{0454DB66-9C63-46B2-A7AD-DA30C0E92781}" destId="{280EA33F-F15E-4398-A092-BE2CC5887783}" srcOrd="6" destOrd="0" presId="urn:microsoft.com/office/officeart/2005/8/layout/vProcess5"/>
    <dgm:cxn modelId="{FE9ECC88-D203-4DB5-8F63-71E3FE3FB69A}" type="presParOf" srcId="{0454DB66-9C63-46B2-A7AD-DA30C0E92781}" destId="{B898B341-A47C-44FD-9465-E9003264B5CA}" srcOrd="7" destOrd="0" presId="urn:microsoft.com/office/officeart/2005/8/layout/vProcess5"/>
    <dgm:cxn modelId="{FA88E1A4-526E-40BA-9201-91A8195D4013}" type="presParOf" srcId="{0454DB66-9C63-46B2-A7AD-DA30C0E92781}" destId="{DF8DC279-A251-4F2D-B7F7-AF47B09BC5E1}" srcOrd="8" destOrd="0" presId="urn:microsoft.com/office/officeart/2005/8/layout/vProcess5"/>
    <dgm:cxn modelId="{3347B9A2-049C-476A-A97D-B736319122D1}" type="presParOf" srcId="{0454DB66-9C63-46B2-A7AD-DA30C0E92781}" destId="{636B6E04-C239-4A78-8DF5-E636379D87CF}" srcOrd="9" destOrd="0" presId="urn:microsoft.com/office/officeart/2005/8/layout/vProcess5"/>
    <dgm:cxn modelId="{C5B664DB-DCF5-4234-89C1-2E1DEA295D7D}" type="presParOf" srcId="{0454DB66-9C63-46B2-A7AD-DA30C0E92781}" destId="{A8725C61-27B4-48BD-BDA1-D0276F28E8AF}" srcOrd="10" destOrd="0" presId="urn:microsoft.com/office/officeart/2005/8/layout/vProcess5"/>
    <dgm:cxn modelId="{A50E79EA-761D-4D3F-9F0C-1DCA2FDE4476}" type="presParOf" srcId="{0454DB66-9C63-46B2-A7AD-DA30C0E92781}" destId="{B4A96FED-95F4-40B3-B73A-C9E0D94744D2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2B75F-745E-473B-9717-B27C2CAFAA6D}">
      <dsp:nvSpPr>
        <dsp:cNvPr id="0" name=""/>
        <dsp:cNvSpPr/>
      </dsp:nvSpPr>
      <dsp:spPr>
        <a:xfrm>
          <a:off x="0" y="-46804"/>
          <a:ext cx="4754880" cy="1135761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Угроза</a:t>
          </a: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– ухудшение ликвидной позиции банка</a:t>
          </a:r>
        </a:p>
      </dsp:txBody>
      <dsp:txXfrm>
        <a:off x="33265" y="-13539"/>
        <a:ext cx="3433334" cy="1069231"/>
      </dsp:txXfrm>
    </dsp:sp>
    <dsp:sp modelId="{2C03E8AB-235D-4A07-B6F2-0712A4A652B5}">
      <dsp:nvSpPr>
        <dsp:cNvPr id="0" name=""/>
        <dsp:cNvSpPr/>
      </dsp:nvSpPr>
      <dsp:spPr>
        <a:xfrm>
          <a:off x="196067" y="1295458"/>
          <a:ext cx="5159187" cy="1135761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</a:t>
          </a: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для устранения угрозы – </a:t>
          </a: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достижение сбалансированности активов и пассивов банка по срокам погашения</a:t>
          </a:r>
        </a:p>
      </dsp:txBody>
      <dsp:txXfrm>
        <a:off x="229332" y="1328723"/>
        <a:ext cx="3859557" cy="1069230"/>
      </dsp:txXfrm>
    </dsp:sp>
    <dsp:sp modelId="{A0A7B9E5-0219-4AEC-B578-2F67B5C5E2F3}">
      <dsp:nvSpPr>
        <dsp:cNvPr id="0" name=""/>
        <dsp:cNvSpPr/>
      </dsp:nvSpPr>
      <dsp:spPr>
        <a:xfrm>
          <a:off x="546882" y="2528671"/>
          <a:ext cx="5242112" cy="1353861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Меры</a:t>
          </a: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фин.оздоровления  - </a:t>
          </a: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изменение структуры активов и пассивов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1</a:t>
          </a: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. увеличение доли высоколиквидных активов (МБК, ценные бумаги для продажи и т.д.)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2. пересмотр кредитной политики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3. снижение доли  "коротких" обязательств </a:t>
          </a:r>
        </a:p>
      </dsp:txBody>
      <dsp:txXfrm>
        <a:off x="586535" y="2568324"/>
        <a:ext cx="3916439" cy="1274555"/>
      </dsp:txXfrm>
    </dsp:sp>
    <dsp:sp modelId="{7CA57788-59B9-43D4-AFF2-F7CEC5726E41}">
      <dsp:nvSpPr>
        <dsp:cNvPr id="0" name=""/>
        <dsp:cNvSpPr/>
      </dsp:nvSpPr>
      <dsp:spPr>
        <a:xfrm>
          <a:off x="1188719" y="3886374"/>
          <a:ext cx="4754880" cy="1322979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Способы</a:t>
          </a: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:</a:t>
          </a:r>
          <a:endParaRPr lang="ru-RU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FF0000"/>
              </a:solidFill>
              <a:latin typeface="Calibri"/>
              <a:ea typeface="+mn-ea"/>
              <a:cs typeface="+mn-cs"/>
            </a:rPr>
            <a:t>1. </a:t>
          </a: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переориентация с инвестиционного портфеля  ценных бумаг в портфель "для продажи"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2. лимитирование "длинных" кредитов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3. пересмотр условий по депозитам  (более привлекательные условия  для долгосрочных вкладов и депозитов)</a:t>
          </a:r>
        </a:p>
      </dsp:txBody>
      <dsp:txXfrm>
        <a:off x="1227468" y="3925123"/>
        <a:ext cx="3540916" cy="1245481"/>
      </dsp:txXfrm>
    </dsp:sp>
    <dsp:sp modelId="{4D803FC4-9EF5-4B2F-93A8-ACDB0DFDC118}">
      <dsp:nvSpPr>
        <dsp:cNvPr id="0" name=""/>
        <dsp:cNvSpPr/>
      </dsp:nvSpPr>
      <dsp:spPr>
        <a:xfrm>
          <a:off x="4016635" y="823084"/>
          <a:ext cx="738244" cy="738244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82740" y="823084"/>
        <a:ext cx="406034" cy="555529"/>
      </dsp:txXfrm>
    </dsp:sp>
    <dsp:sp modelId="{280EA33F-F15E-4398-A092-BE2CC5887783}">
      <dsp:nvSpPr>
        <dsp:cNvPr id="0" name=""/>
        <dsp:cNvSpPr/>
      </dsp:nvSpPr>
      <dsp:spPr>
        <a:xfrm>
          <a:off x="4414856" y="2165347"/>
          <a:ext cx="738244" cy="738244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80961" y="2165347"/>
        <a:ext cx="406034" cy="555529"/>
      </dsp:txXfrm>
    </dsp:sp>
    <dsp:sp modelId="{B898B341-A47C-44FD-9465-E9003264B5CA}">
      <dsp:nvSpPr>
        <dsp:cNvPr id="0" name=""/>
        <dsp:cNvSpPr/>
      </dsp:nvSpPr>
      <dsp:spPr>
        <a:xfrm>
          <a:off x="4807134" y="3507610"/>
          <a:ext cx="738244" cy="738244"/>
        </a:xfrm>
        <a:prstGeom prst="downArrow">
          <a:avLst>
            <a:gd name="adj1" fmla="val 55000"/>
            <a:gd name="adj2" fmla="val 45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973239" y="3507610"/>
        <a:ext cx="406034" cy="555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Тагировы</dc:creator>
  <cp:lastModifiedBy>Тагировы</cp:lastModifiedBy>
  <cp:revision>3</cp:revision>
  <dcterms:created xsi:type="dcterms:W3CDTF">2016-10-16T21:02:00Z</dcterms:created>
  <dcterms:modified xsi:type="dcterms:W3CDTF">2017-09-14T13:39:00Z</dcterms:modified>
</cp:coreProperties>
</file>