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6A" w:rsidRPr="006952C0" w:rsidRDefault="0093726A">
      <w:pPr>
        <w:pStyle w:val="1"/>
        <w:jc w:val="right"/>
        <w:rPr>
          <w:b/>
          <w:sz w:val="20"/>
          <w:szCs w:val="20"/>
        </w:rPr>
      </w:pPr>
      <w:r w:rsidRPr="006952C0">
        <w:rPr>
          <w:b/>
          <w:sz w:val="20"/>
          <w:szCs w:val="20"/>
        </w:rPr>
        <w:t xml:space="preserve">Приложение № ____ </w:t>
      </w:r>
      <w:r w:rsidRPr="006952C0">
        <w:rPr>
          <w:b/>
          <w:sz w:val="20"/>
          <w:szCs w:val="20"/>
        </w:rPr>
        <w:br/>
        <w:t>к приказу от "___" ______________________</w:t>
      </w:r>
      <w:r w:rsidRPr="006952C0">
        <w:rPr>
          <w:b/>
          <w:sz w:val="20"/>
          <w:szCs w:val="20"/>
        </w:rPr>
        <w:br/>
        <w:t>№ ____________________</w:t>
      </w:r>
    </w:p>
    <w:p w:rsidR="0093726A" w:rsidRPr="006952C0" w:rsidRDefault="0093726A">
      <w:pPr>
        <w:spacing w:after="240"/>
        <w:rPr>
          <w:b/>
          <w:sz w:val="20"/>
          <w:szCs w:val="20"/>
        </w:rPr>
      </w:pPr>
    </w:p>
    <w:p w:rsidR="0093726A" w:rsidRPr="006952C0" w:rsidRDefault="0093726A">
      <w:pPr>
        <w:pStyle w:val="1"/>
        <w:jc w:val="right"/>
        <w:rPr>
          <w:b/>
          <w:sz w:val="20"/>
          <w:szCs w:val="20"/>
        </w:rPr>
      </w:pPr>
      <w:r w:rsidRPr="006952C0">
        <w:rPr>
          <w:b/>
          <w:sz w:val="20"/>
          <w:szCs w:val="20"/>
        </w:rPr>
        <w:t xml:space="preserve">Утверждаю </w:t>
      </w:r>
      <w:r w:rsidRPr="006952C0">
        <w:rPr>
          <w:b/>
          <w:sz w:val="20"/>
          <w:szCs w:val="20"/>
        </w:rPr>
        <w:br/>
        <w:t>Руководитель приоритетного направления</w:t>
      </w:r>
      <w:r w:rsidRPr="006952C0">
        <w:rPr>
          <w:b/>
          <w:sz w:val="20"/>
          <w:szCs w:val="20"/>
        </w:rPr>
        <w:br/>
        <w:t>______________________________________(ФИО)</w:t>
      </w:r>
    </w:p>
    <w:p w:rsidR="0093726A" w:rsidRPr="006952C0" w:rsidRDefault="0093726A">
      <w:pPr>
        <w:pStyle w:val="1"/>
        <w:jc w:val="center"/>
        <w:rPr>
          <w:b/>
          <w:sz w:val="20"/>
          <w:szCs w:val="20"/>
        </w:rPr>
      </w:pPr>
      <w:r w:rsidRPr="006952C0">
        <w:rPr>
          <w:b/>
        </w:rPr>
        <w:t>Календарный план по проекту "НИЛ "Микробные биотехнологии""</w:t>
      </w:r>
    </w:p>
    <w:p w:rsidR="0093726A" w:rsidRPr="006952C0" w:rsidRDefault="0093726A">
      <w:pPr>
        <w:rPr>
          <w:b/>
          <w:sz w:val="20"/>
          <w:szCs w:val="20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32"/>
        <w:gridCol w:w="5683"/>
        <w:gridCol w:w="5406"/>
        <w:gridCol w:w="1285"/>
        <w:gridCol w:w="1620"/>
      </w:tblGrid>
      <w:tr w:rsidR="0093726A" w:rsidRPr="006952C0" w:rsidTr="00334A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8"/>
                <w:szCs w:val="28"/>
              </w:rPr>
            </w:pPr>
            <w:r w:rsidRPr="006952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0"/>
                <w:szCs w:val="20"/>
              </w:rPr>
            </w:pPr>
            <w:r w:rsidRPr="006952C0">
              <w:rPr>
                <w:b/>
                <w:bCs/>
                <w:sz w:val="20"/>
                <w:szCs w:val="20"/>
              </w:rPr>
              <w:t>Перечень работ и мероприятий проекта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0"/>
                <w:szCs w:val="20"/>
              </w:rPr>
            </w:pPr>
            <w:r w:rsidRPr="006952C0">
              <w:rPr>
                <w:b/>
                <w:bCs/>
                <w:sz w:val="20"/>
                <w:szCs w:val="20"/>
              </w:rPr>
              <w:t>Наименование мероприятия Программы повышения конкурентоспособности КФУ или СИ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0"/>
                <w:szCs w:val="20"/>
              </w:rPr>
            </w:pPr>
            <w:r w:rsidRPr="006952C0">
              <w:rPr>
                <w:b/>
                <w:bCs/>
                <w:sz w:val="20"/>
                <w:szCs w:val="20"/>
              </w:rPr>
              <w:t>Сроки выполнения работ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0"/>
                <w:szCs w:val="20"/>
              </w:rPr>
            </w:pPr>
            <w:r w:rsidRPr="006952C0">
              <w:rPr>
                <w:b/>
                <w:bCs/>
                <w:sz w:val="20"/>
                <w:szCs w:val="20"/>
              </w:rPr>
              <w:t>Цена выполняемых работ и мероприятий, руб.</w:t>
            </w:r>
          </w:p>
        </w:tc>
      </w:tr>
      <w:tr w:rsidR="0093726A" w:rsidRPr="006952C0" w:rsidTr="00334A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>2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>3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>5</w:t>
            </w:r>
          </w:p>
        </w:tc>
      </w:tr>
      <w:tr w:rsidR="0093726A" w:rsidRPr="006952C0" w:rsidTr="00334A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nil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3726A" w:rsidRPr="006952C0" w:rsidRDefault="0093726A" w:rsidP="00BE517E">
            <w:pPr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а) Проведено </w:t>
            </w:r>
            <w:proofErr w:type="spellStart"/>
            <w:r w:rsidRPr="006952C0">
              <w:rPr>
                <w:sz w:val="28"/>
                <w:szCs w:val="28"/>
              </w:rPr>
              <w:t>генотипирование</w:t>
            </w:r>
            <w:proofErr w:type="spellEnd"/>
            <w:r w:rsidRPr="006952C0">
              <w:rPr>
                <w:sz w:val="28"/>
                <w:szCs w:val="28"/>
              </w:rPr>
              <w:t xml:space="preserve"> 31 линий нокаутов по генам-кандидатам на хромосоме 5 </w:t>
            </w:r>
            <w:r w:rsidRPr="006952C0">
              <w:rPr>
                <w:i/>
                <w:sz w:val="28"/>
                <w:szCs w:val="28"/>
                <w:lang w:val="en-US"/>
              </w:rPr>
              <w:t>Arabidopsis</w:t>
            </w:r>
            <w:r w:rsidRPr="006952C0">
              <w:rPr>
                <w:i/>
                <w:sz w:val="28"/>
                <w:szCs w:val="28"/>
              </w:rPr>
              <w:t xml:space="preserve"> </w:t>
            </w:r>
            <w:r w:rsidRPr="006952C0">
              <w:rPr>
                <w:i/>
                <w:sz w:val="28"/>
                <w:szCs w:val="28"/>
                <w:lang w:val="en-US"/>
              </w:rPr>
              <w:t>thaliana</w:t>
            </w:r>
            <w:r w:rsidRPr="006952C0">
              <w:rPr>
                <w:sz w:val="28"/>
                <w:szCs w:val="28"/>
              </w:rPr>
              <w:t xml:space="preserve">. Обнаружены </w:t>
            </w:r>
            <w:proofErr w:type="spellStart"/>
            <w:r w:rsidRPr="006952C0">
              <w:rPr>
                <w:sz w:val="28"/>
                <w:szCs w:val="28"/>
              </w:rPr>
              <w:t>растения-гомозиготы</w:t>
            </w:r>
            <w:proofErr w:type="spellEnd"/>
            <w:r w:rsidRPr="006952C0">
              <w:rPr>
                <w:sz w:val="28"/>
                <w:szCs w:val="28"/>
              </w:rPr>
              <w:t xml:space="preserve"> по интересующим генам. Идентифицированы гены-кандидаты, ответственные за QTL эффект вариации длины хромосом. Методами </w:t>
            </w:r>
            <w:r w:rsidRPr="006952C0">
              <w:rPr>
                <w:sz w:val="28"/>
                <w:szCs w:val="28"/>
                <w:lang w:val="en-US"/>
              </w:rPr>
              <w:t>Southern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blot</w:t>
            </w:r>
            <w:r w:rsidRPr="006952C0">
              <w:rPr>
                <w:sz w:val="28"/>
                <w:szCs w:val="28"/>
              </w:rPr>
              <w:t xml:space="preserve">, </w:t>
            </w:r>
            <w:r w:rsidRPr="006952C0">
              <w:rPr>
                <w:sz w:val="28"/>
                <w:szCs w:val="28"/>
                <w:lang w:val="en-US"/>
              </w:rPr>
              <w:t>PETRA</w:t>
            </w:r>
            <w:r w:rsidRPr="006952C0">
              <w:rPr>
                <w:sz w:val="28"/>
                <w:szCs w:val="28"/>
              </w:rPr>
              <w:t xml:space="preserve"> и </w:t>
            </w:r>
            <w:r w:rsidRPr="006952C0">
              <w:rPr>
                <w:sz w:val="28"/>
                <w:szCs w:val="28"/>
                <w:lang w:val="en-US"/>
              </w:rPr>
              <w:t>FUSION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PCR</w:t>
            </w:r>
            <w:r w:rsidRPr="006952C0">
              <w:rPr>
                <w:sz w:val="28"/>
                <w:szCs w:val="28"/>
              </w:rPr>
              <w:t xml:space="preserve"> описан </w:t>
            </w:r>
            <w:proofErr w:type="spellStart"/>
            <w:r w:rsidRPr="006952C0">
              <w:rPr>
                <w:sz w:val="28"/>
                <w:szCs w:val="28"/>
              </w:rPr>
              <w:t>теломерный</w:t>
            </w:r>
            <w:proofErr w:type="spellEnd"/>
            <w:r w:rsidRPr="006952C0">
              <w:rPr>
                <w:sz w:val="28"/>
                <w:szCs w:val="28"/>
              </w:rPr>
              <w:t xml:space="preserve"> фенотип нокаутов по генам-кандидатам.</w:t>
            </w:r>
          </w:p>
          <w:p w:rsidR="0093726A" w:rsidRPr="006952C0" w:rsidRDefault="0093726A" w:rsidP="00BE517E">
            <w:pPr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Методами </w:t>
            </w:r>
            <w:r w:rsidRPr="006952C0">
              <w:rPr>
                <w:sz w:val="28"/>
                <w:szCs w:val="28"/>
                <w:lang w:val="en-US"/>
              </w:rPr>
              <w:t>Southern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blot</w:t>
            </w:r>
            <w:r w:rsidRPr="006952C0">
              <w:rPr>
                <w:sz w:val="28"/>
                <w:szCs w:val="28"/>
              </w:rPr>
              <w:t xml:space="preserve">, </w:t>
            </w:r>
            <w:r w:rsidRPr="006952C0">
              <w:rPr>
                <w:sz w:val="28"/>
                <w:szCs w:val="28"/>
                <w:lang w:val="en-US"/>
              </w:rPr>
              <w:t>PETRA</w:t>
            </w:r>
            <w:r w:rsidRPr="006952C0">
              <w:rPr>
                <w:sz w:val="28"/>
                <w:szCs w:val="28"/>
              </w:rPr>
              <w:t xml:space="preserve"> и </w:t>
            </w:r>
            <w:r w:rsidRPr="006952C0">
              <w:rPr>
                <w:sz w:val="28"/>
                <w:szCs w:val="28"/>
                <w:lang w:val="en-US"/>
              </w:rPr>
              <w:t>FUSION</w:t>
            </w:r>
            <w:r w:rsidRPr="006952C0">
              <w:rPr>
                <w:sz w:val="28"/>
                <w:szCs w:val="28"/>
              </w:rPr>
              <w:t xml:space="preserve"> описан и подтвержден </w:t>
            </w:r>
            <w:proofErr w:type="spellStart"/>
            <w:r w:rsidRPr="006952C0">
              <w:rPr>
                <w:sz w:val="28"/>
                <w:szCs w:val="28"/>
              </w:rPr>
              <w:t>теломерный</w:t>
            </w:r>
            <w:proofErr w:type="spellEnd"/>
            <w:r w:rsidRPr="006952C0">
              <w:rPr>
                <w:sz w:val="28"/>
                <w:szCs w:val="28"/>
              </w:rPr>
              <w:t xml:space="preserve"> фенотип </w:t>
            </w:r>
            <w:r w:rsidRPr="006952C0">
              <w:rPr>
                <w:sz w:val="28"/>
                <w:szCs w:val="28"/>
                <w:lang w:val="en-US"/>
              </w:rPr>
              <w:t>TRFL</w:t>
            </w:r>
            <w:r w:rsidRPr="006952C0">
              <w:rPr>
                <w:sz w:val="28"/>
                <w:szCs w:val="28"/>
              </w:rPr>
              <w:t xml:space="preserve">2 и </w:t>
            </w:r>
            <w:r w:rsidRPr="006952C0">
              <w:rPr>
                <w:sz w:val="28"/>
                <w:szCs w:val="28"/>
                <w:lang w:val="en-US"/>
              </w:rPr>
              <w:t>TRFL</w:t>
            </w:r>
            <w:r w:rsidRPr="006952C0">
              <w:rPr>
                <w:sz w:val="28"/>
                <w:szCs w:val="28"/>
              </w:rPr>
              <w:t xml:space="preserve">3 нокаутов </w:t>
            </w:r>
            <w:proofErr w:type="spellStart"/>
            <w:r w:rsidRPr="006952C0">
              <w:rPr>
                <w:i/>
                <w:sz w:val="28"/>
                <w:szCs w:val="28"/>
                <w:lang w:val="en-US"/>
              </w:rPr>
              <w:t>Physcomitrella</w:t>
            </w:r>
            <w:proofErr w:type="spellEnd"/>
            <w:r w:rsidRPr="006952C0">
              <w:rPr>
                <w:i/>
                <w:sz w:val="28"/>
                <w:szCs w:val="28"/>
              </w:rPr>
              <w:t xml:space="preserve"> </w:t>
            </w:r>
            <w:r w:rsidRPr="006952C0">
              <w:rPr>
                <w:i/>
                <w:sz w:val="28"/>
                <w:szCs w:val="28"/>
                <w:lang w:val="en-US"/>
              </w:rPr>
              <w:lastRenderedPageBreak/>
              <w:t>patens</w:t>
            </w:r>
            <w:r w:rsidRPr="006952C0">
              <w:rPr>
                <w:sz w:val="28"/>
                <w:szCs w:val="28"/>
              </w:rPr>
              <w:t xml:space="preserve">.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Б) Получение векторной конструкции на основе гена </w:t>
            </w:r>
            <w:proofErr w:type="spellStart"/>
            <w:r w:rsidRPr="006952C0">
              <w:rPr>
                <w:sz w:val="28"/>
                <w:szCs w:val="28"/>
              </w:rPr>
              <w:t>фитазы</w:t>
            </w:r>
            <w:proofErr w:type="spellEnd"/>
            <w:r w:rsidRPr="006952C0">
              <w:rPr>
                <w:sz w:val="28"/>
                <w:szCs w:val="28"/>
              </w:rPr>
              <w:t xml:space="preserve"> P. </w:t>
            </w:r>
            <w:proofErr w:type="spellStart"/>
            <w:r w:rsidRPr="006952C0">
              <w:rPr>
                <w:sz w:val="28"/>
                <w:szCs w:val="28"/>
              </w:rPr>
              <w:t>agglomerans</w:t>
            </w:r>
            <w:proofErr w:type="spellEnd"/>
            <w:r w:rsidRPr="006952C0">
              <w:rPr>
                <w:sz w:val="28"/>
                <w:szCs w:val="28"/>
              </w:rPr>
              <w:t xml:space="preserve">, включающей растительный промотор Pht1;2 и растительный сигнальный пептид. </w:t>
            </w:r>
            <w:proofErr w:type="spellStart"/>
            <w:r w:rsidRPr="006952C0">
              <w:rPr>
                <w:sz w:val="28"/>
                <w:szCs w:val="28"/>
              </w:rPr>
              <w:t>Агробактериальная</w:t>
            </w:r>
            <w:proofErr w:type="spellEnd"/>
            <w:r w:rsidRPr="006952C0">
              <w:rPr>
                <w:sz w:val="28"/>
                <w:szCs w:val="28"/>
              </w:rPr>
              <w:t xml:space="preserve"> трансформация экспрессионных векторов в растения A. </w:t>
            </w:r>
            <w:proofErr w:type="spellStart"/>
            <w:r w:rsidRPr="006952C0">
              <w:rPr>
                <w:sz w:val="28"/>
                <w:szCs w:val="28"/>
              </w:rPr>
              <w:t>thaliana</w:t>
            </w:r>
            <w:proofErr w:type="spellEnd"/>
            <w:r w:rsidRPr="006952C0">
              <w:rPr>
                <w:sz w:val="28"/>
                <w:szCs w:val="28"/>
              </w:rPr>
              <w:t xml:space="preserve">, отбор гомозиготных по интегрированному гену </w:t>
            </w:r>
            <w:proofErr w:type="spellStart"/>
            <w:r w:rsidRPr="006952C0">
              <w:rPr>
                <w:sz w:val="28"/>
                <w:szCs w:val="28"/>
              </w:rPr>
              <w:t>фитазы</w:t>
            </w:r>
            <w:proofErr w:type="spellEnd"/>
            <w:r w:rsidRPr="006952C0">
              <w:rPr>
                <w:sz w:val="28"/>
                <w:szCs w:val="28"/>
              </w:rPr>
              <w:t xml:space="preserve"> линий растений третьего поколения</w:t>
            </w: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Выделение </w:t>
            </w:r>
            <w:proofErr w:type="spellStart"/>
            <w:r w:rsidRPr="006952C0">
              <w:rPr>
                <w:sz w:val="28"/>
                <w:szCs w:val="28"/>
              </w:rPr>
              <w:t>мРНК</w:t>
            </w:r>
            <w:proofErr w:type="spellEnd"/>
            <w:r w:rsidRPr="006952C0">
              <w:rPr>
                <w:sz w:val="28"/>
                <w:szCs w:val="28"/>
              </w:rPr>
              <w:t xml:space="preserve"> корней модифицированных растений и получение </w:t>
            </w:r>
            <w:proofErr w:type="spellStart"/>
            <w:r w:rsidRPr="006952C0">
              <w:rPr>
                <w:sz w:val="28"/>
                <w:szCs w:val="28"/>
              </w:rPr>
              <w:t>кДНК</w:t>
            </w:r>
            <w:proofErr w:type="spellEnd"/>
            <w:r w:rsidRPr="006952C0">
              <w:rPr>
                <w:sz w:val="28"/>
                <w:szCs w:val="28"/>
              </w:rPr>
              <w:t xml:space="preserve"> для анализа экспрессии бактериальных генов </w:t>
            </w:r>
            <w:proofErr w:type="spellStart"/>
            <w:r w:rsidRPr="006952C0">
              <w:rPr>
                <w:sz w:val="28"/>
                <w:szCs w:val="28"/>
              </w:rPr>
              <w:t>фитаз</w:t>
            </w:r>
            <w:proofErr w:type="spellEnd"/>
            <w:r w:rsidRPr="006952C0">
              <w:rPr>
                <w:sz w:val="28"/>
                <w:szCs w:val="28"/>
              </w:rPr>
              <w:t xml:space="preserve"> на уровне транскрипции (ОТ-ПЦР).</w:t>
            </w: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proofErr w:type="spellStart"/>
            <w:r w:rsidRPr="006952C0">
              <w:rPr>
                <w:sz w:val="28"/>
                <w:szCs w:val="28"/>
              </w:rPr>
              <w:t>Секвенирование</w:t>
            </w:r>
            <w:proofErr w:type="spellEnd"/>
            <w:r w:rsidRPr="006952C0">
              <w:rPr>
                <w:sz w:val="28"/>
                <w:szCs w:val="28"/>
              </w:rPr>
              <w:t xml:space="preserve"> и аннотация геномов </w:t>
            </w:r>
            <w:proofErr w:type="spellStart"/>
            <w:r w:rsidRPr="006952C0">
              <w:rPr>
                <w:sz w:val="28"/>
                <w:szCs w:val="28"/>
              </w:rPr>
              <w:t>изолятов</w:t>
            </w:r>
            <w:proofErr w:type="spellEnd"/>
            <w:r w:rsidRPr="006952C0">
              <w:rPr>
                <w:sz w:val="28"/>
                <w:szCs w:val="28"/>
              </w:rPr>
              <w:t xml:space="preserve">, обладающих высоким </w:t>
            </w:r>
            <w:proofErr w:type="spellStart"/>
            <w:r w:rsidRPr="006952C0">
              <w:rPr>
                <w:sz w:val="28"/>
                <w:szCs w:val="28"/>
              </w:rPr>
              <w:t>антимикробным</w:t>
            </w:r>
            <w:proofErr w:type="spellEnd"/>
            <w:r w:rsidRPr="006952C0">
              <w:rPr>
                <w:sz w:val="28"/>
                <w:szCs w:val="28"/>
              </w:rPr>
              <w:t xml:space="preserve"> потенциалом. Сравнительный анализ геномов выделенных штаммов с геномами известных </w:t>
            </w:r>
            <w:proofErr w:type="spellStart"/>
            <w:r w:rsidRPr="006952C0">
              <w:rPr>
                <w:sz w:val="28"/>
                <w:szCs w:val="28"/>
              </w:rPr>
              <w:t>патогенов</w:t>
            </w:r>
            <w:proofErr w:type="spellEnd"/>
            <w:r w:rsidRPr="006952C0">
              <w:rPr>
                <w:sz w:val="28"/>
                <w:szCs w:val="28"/>
              </w:rPr>
              <w:t xml:space="preserve"> растений для определения потенциала патогенности. Идентификация генов, ответственных за синтез </w:t>
            </w:r>
            <w:proofErr w:type="spellStart"/>
            <w:r w:rsidRPr="006952C0">
              <w:rPr>
                <w:sz w:val="28"/>
                <w:szCs w:val="28"/>
              </w:rPr>
              <w:t>антимикробных</w:t>
            </w:r>
            <w:proofErr w:type="spellEnd"/>
            <w:r w:rsidRPr="006952C0">
              <w:rPr>
                <w:sz w:val="28"/>
                <w:szCs w:val="28"/>
              </w:rPr>
              <w:t xml:space="preserve"> соединений.</w:t>
            </w: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Определение спектра метаболитов с антибиотической активностью. Выделение и очистка пептидных антибиотиков. Изучение </w:t>
            </w:r>
            <w:r w:rsidRPr="006952C0">
              <w:rPr>
                <w:sz w:val="28"/>
                <w:szCs w:val="28"/>
              </w:rPr>
              <w:lastRenderedPageBreak/>
              <w:t>их биосинтеза и влияния на различные фитопатогенные микроорганизмы.</w:t>
            </w: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Идентификация и характеристика штаммов с высокой секрецией органических кислот, способствующих подавлению роста патогенной микрофлоры. Выяснение роли микробных метаболитов в защите растений от </w:t>
            </w:r>
            <w:proofErr w:type="spellStart"/>
            <w:r w:rsidRPr="006952C0">
              <w:rPr>
                <w:sz w:val="28"/>
                <w:szCs w:val="28"/>
              </w:rPr>
              <w:t>патогенов</w:t>
            </w:r>
            <w:proofErr w:type="spellEnd"/>
            <w:r w:rsidRPr="006952C0">
              <w:rPr>
                <w:sz w:val="28"/>
                <w:szCs w:val="28"/>
              </w:rPr>
              <w:t>. Определение способности изолированных штаммов бактерий к биосинтезу стимуляторов роста растений и фитогормонов.</w:t>
            </w: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Показано, что </w:t>
            </w:r>
            <w:proofErr w:type="spellStart"/>
            <w:r w:rsidRPr="006952C0">
              <w:rPr>
                <w:sz w:val="28"/>
                <w:szCs w:val="28"/>
              </w:rPr>
              <w:t>эффлюкс</w:t>
            </w:r>
            <w:proofErr w:type="spellEnd"/>
            <w:r w:rsidRPr="006952C0">
              <w:rPr>
                <w:sz w:val="28"/>
                <w:szCs w:val="28"/>
              </w:rPr>
              <w:t xml:space="preserve"> система </w:t>
            </w:r>
            <w:proofErr w:type="spellStart"/>
            <w:r w:rsidRPr="006952C0">
              <w:rPr>
                <w:sz w:val="28"/>
                <w:szCs w:val="28"/>
              </w:rPr>
              <w:t>МасАВ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</w:rPr>
              <w:t xml:space="preserve"> активируется в ответ на </w:t>
            </w:r>
            <w:proofErr w:type="spellStart"/>
            <w:r w:rsidRPr="006952C0">
              <w:rPr>
                <w:sz w:val="28"/>
                <w:szCs w:val="28"/>
              </w:rPr>
              <w:t>присутсвие</w:t>
            </w:r>
            <w:proofErr w:type="spellEnd"/>
            <w:r w:rsidRPr="006952C0">
              <w:rPr>
                <w:sz w:val="28"/>
                <w:szCs w:val="28"/>
              </w:rPr>
              <w:t xml:space="preserve"> в среде перекиси водорода. Установлено, что естественным субстратом </w:t>
            </w:r>
            <w:proofErr w:type="spellStart"/>
            <w:r w:rsidRPr="006952C0">
              <w:rPr>
                <w:sz w:val="28"/>
                <w:szCs w:val="28"/>
              </w:rPr>
              <w:t>эффлюкс</w:t>
            </w:r>
            <w:proofErr w:type="spellEnd"/>
            <w:r w:rsidRPr="006952C0">
              <w:rPr>
                <w:sz w:val="28"/>
                <w:szCs w:val="28"/>
              </w:rPr>
              <w:t xml:space="preserve"> системы </w:t>
            </w:r>
            <w:proofErr w:type="spellStart"/>
            <w:r w:rsidRPr="006952C0">
              <w:rPr>
                <w:sz w:val="28"/>
                <w:szCs w:val="28"/>
              </w:rPr>
              <w:t>МасАВ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SM</w:t>
            </w:r>
            <w:r w:rsidRPr="006952C0">
              <w:rPr>
                <w:sz w:val="28"/>
                <w:szCs w:val="28"/>
              </w:rPr>
              <w:t xml:space="preserve">6 является низкомолекулярное соединения размером менее 10 </w:t>
            </w:r>
            <w:proofErr w:type="spellStart"/>
            <w:r w:rsidRPr="006952C0">
              <w:rPr>
                <w:sz w:val="28"/>
                <w:szCs w:val="28"/>
              </w:rPr>
              <w:t>кДа</w:t>
            </w:r>
            <w:proofErr w:type="spellEnd"/>
            <w:r w:rsidRPr="006952C0">
              <w:rPr>
                <w:sz w:val="28"/>
                <w:szCs w:val="28"/>
              </w:rPr>
              <w:t xml:space="preserve"> белковой или пептидной природы. Отработана методика концентрации низкомолекулярных соединений из </w:t>
            </w:r>
            <w:proofErr w:type="spellStart"/>
            <w:r w:rsidRPr="006952C0">
              <w:rPr>
                <w:sz w:val="28"/>
                <w:szCs w:val="28"/>
              </w:rPr>
              <w:t>культуральной</w:t>
            </w:r>
            <w:proofErr w:type="spellEnd"/>
            <w:r w:rsidRPr="006952C0">
              <w:rPr>
                <w:sz w:val="28"/>
                <w:szCs w:val="28"/>
              </w:rPr>
              <w:t xml:space="preserve"> жидкости </w:t>
            </w:r>
            <w:r w:rsidRPr="006952C0">
              <w:rPr>
                <w:sz w:val="28"/>
                <w:szCs w:val="28"/>
                <w:lang w:val="en-US"/>
              </w:rPr>
              <w:t>S</w:t>
            </w:r>
            <w:r w:rsidRPr="006952C0">
              <w:rPr>
                <w:sz w:val="28"/>
                <w:szCs w:val="28"/>
              </w:rPr>
              <w:t xml:space="preserve">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</w:rPr>
              <w:t xml:space="preserve">. Получены и очищены при помощи ВЭЖХ фракции </w:t>
            </w:r>
            <w:proofErr w:type="spellStart"/>
            <w:r w:rsidRPr="006952C0">
              <w:rPr>
                <w:sz w:val="28"/>
                <w:szCs w:val="28"/>
              </w:rPr>
              <w:t>сидерофоров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</w:rPr>
              <w:t xml:space="preserve">, показано, что некоторые из фракций содержат </w:t>
            </w:r>
            <w:proofErr w:type="spellStart"/>
            <w:r w:rsidRPr="006952C0">
              <w:rPr>
                <w:sz w:val="28"/>
                <w:szCs w:val="28"/>
              </w:rPr>
              <w:t>сидерофоры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</w:rPr>
              <w:t>катехольного</w:t>
            </w:r>
            <w:proofErr w:type="spellEnd"/>
            <w:r w:rsidRPr="006952C0">
              <w:rPr>
                <w:sz w:val="28"/>
                <w:szCs w:val="28"/>
              </w:rPr>
              <w:t xml:space="preserve"> ряда. </w:t>
            </w:r>
            <w:proofErr w:type="spellStart"/>
            <w:r w:rsidRPr="006952C0">
              <w:rPr>
                <w:sz w:val="28"/>
                <w:szCs w:val="28"/>
              </w:rPr>
              <w:t>Продемонтрирована</w:t>
            </w:r>
            <w:proofErr w:type="spellEnd"/>
            <w:r w:rsidRPr="006952C0">
              <w:rPr>
                <w:sz w:val="28"/>
                <w:szCs w:val="28"/>
              </w:rPr>
              <w:t xml:space="preserve"> важность форматного метаболизма </w:t>
            </w:r>
            <w:r w:rsidRPr="006952C0">
              <w:rPr>
                <w:sz w:val="28"/>
                <w:szCs w:val="28"/>
                <w:lang w:val="en-US"/>
              </w:rPr>
              <w:lastRenderedPageBreak/>
              <w:t>Salmonella</w:t>
            </w:r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Typhimurium</w:t>
            </w:r>
            <w:proofErr w:type="spellEnd"/>
            <w:r w:rsidRPr="006952C0">
              <w:rPr>
                <w:sz w:val="28"/>
                <w:szCs w:val="28"/>
              </w:rPr>
              <w:t xml:space="preserve"> при инфекции цыплят.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 б) Закуплено </w:t>
            </w:r>
            <w:proofErr w:type="spellStart"/>
            <w:r w:rsidRPr="006952C0">
              <w:rPr>
                <w:sz w:val="28"/>
                <w:szCs w:val="28"/>
              </w:rPr>
              <w:t>оборудование:Микроскоп</w:t>
            </w:r>
            <w:proofErr w:type="spellEnd"/>
            <w:r w:rsidRPr="006952C0">
              <w:rPr>
                <w:sz w:val="28"/>
                <w:szCs w:val="28"/>
              </w:rPr>
              <w:t xml:space="preserve"> инвертированный </w:t>
            </w:r>
            <w:r w:rsidRPr="006952C0">
              <w:rPr>
                <w:sz w:val="28"/>
                <w:szCs w:val="28"/>
                <w:lang w:val="en-US"/>
              </w:rPr>
              <w:t>Eclipse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TS</w:t>
            </w:r>
            <w:r w:rsidRPr="006952C0">
              <w:rPr>
                <w:sz w:val="28"/>
                <w:szCs w:val="28"/>
              </w:rPr>
              <w:t xml:space="preserve"> 100-</w:t>
            </w:r>
            <w:r w:rsidRPr="006952C0">
              <w:rPr>
                <w:sz w:val="28"/>
                <w:szCs w:val="28"/>
                <w:lang w:val="en-US"/>
              </w:rPr>
              <w:t>F</w:t>
            </w:r>
            <w:r w:rsidRPr="006952C0">
              <w:rPr>
                <w:sz w:val="28"/>
                <w:szCs w:val="28"/>
              </w:rPr>
              <w:t xml:space="preserve">;Камера для горизонтального (ДНК) электрофореза </w:t>
            </w:r>
            <w:r w:rsidRPr="006952C0">
              <w:rPr>
                <w:sz w:val="28"/>
                <w:szCs w:val="28"/>
                <w:lang w:val="en-US"/>
              </w:rPr>
              <w:t>Mini</w:t>
            </w:r>
            <w:r w:rsidRPr="006952C0">
              <w:rPr>
                <w:sz w:val="28"/>
                <w:szCs w:val="28"/>
              </w:rPr>
              <w:t>-</w:t>
            </w:r>
            <w:r w:rsidRPr="006952C0">
              <w:rPr>
                <w:sz w:val="28"/>
                <w:szCs w:val="28"/>
                <w:lang w:val="en-US"/>
              </w:rPr>
              <w:t>Sub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Cell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GT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System</w:t>
            </w:r>
            <w:r w:rsidRPr="006952C0">
              <w:rPr>
                <w:sz w:val="28"/>
                <w:szCs w:val="28"/>
              </w:rPr>
              <w:t xml:space="preserve">, 7 </w:t>
            </w:r>
            <w:r w:rsidRPr="006952C0">
              <w:rPr>
                <w:sz w:val="28"/>
                <w:szCs w:val="28"/>
                <w:lang w:val="en-US"/>
              </w:rPr>
              <w:t>x</w:t>
            </w:r>
            <w:r w:rsidRPr="006952C0">
              <w:rPr>
                <w:sz w:val="28"/>
                <w:szCs w:val="28"/>
              </w:rPr>
              <w:t xml:space="preserve">10 см, с залив. </w:t>
            </w:r>
            <w:proofErr w:type="spellStart"/>
            <w:r w:rsidRPr="006952C0">
              <w:rPr>
                <w:sz w:val="28"/>
                <w:szCs w:val="28"/>
              </w:rPr>
              <w:t>столиком;Мешалка</w:t>
            </w:r>
            <w:proofErr w:type="spellEnd"/>
            <w:r w:rsidRPr="006952C0">
              <w:rPr>
                <w:sz w:val="28"/>
                <w:szCs w:val="28"/>
              </w:rPr>
              <w:t xml:space="preserve"> магнитная с подогревом </w:t>
            </w:r>
            <w:r w:rsidRPr="006952C0">
              <w:rPr>
                <w:sz w:val="28"/>
                <w:szCs w:val="28"/>
                <w:lang w:val="en-US"/>
              </w:rPr>
              <w:t>BS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MSH</w:t>
            </w:r>
            <w:r w:rsidRPr="006952C0">
              <w:rPr>
                <w:sz w:val="28"/>
                <w:szCs w:val="28"/>
              </w:rPr>
              <w:t>-300</w:t>
            </w:r>
            <w:r w:rsidRPr="006952C0">
              <w:rPr>
                <w:sz w:val="28"/>
                <w:szCs w:val="28"/>
                <w:lang w:val="en-US"/>
              </w:rPr>
              <w:t> </w:t>
            </w:r>
            <w:r w:rsidRPr="006952C0">
              <w:rPr>
                <w:sz w:val="28"/>
                <w:szCs w:val="28"/>
              </w:rPr>
              <w:t xml:space="preserve">125-1250 об/мин (2 штуки); Холодильник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Indesit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BIA</w:t>
            </w:r>
            <w:r w:rsidRPr="006952C0">
              <w:rPr>
                <w:sz w:val="28"/>
                <w:szCs w:val="28"/>
              </w:rPr>
              <w:t xml:space="preserve"> 20 </w:t>
            </w:r>
            <w:r w:rsidRPr="006952C0">
              <w:rPr>
                <w:sz w:val="28"/>
                <w:szCs w:val="28"/>
                <w:lang w:val="en-US"/>
              </w:rPr>
              <w:t>NF</w:t>
            </w:r>
            <w:r w:rsidRPr="006952C0">
              <w:rPr>
                <w:sz w:val="28"/>
                <w:szCs w:val="28"/>
              </w:rPr>
              <w:t xml:space="preserve"> (2 штуки); Морозильная камера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Indesit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SFR</w:t>
            </w:r>
            <w:r w:rsidRPr="006952C0">
              <w:rPr>
                <w:sz w:val="28"/>
                <w:szCs w:val="28"/>
              </w:rPr>
              <w:t xml:space="preserve"> 167 Термостат жидкостной (баня), 7л, </w:t>
            </w:r>
            <w:r w:rsidRPr="006952C0">
              <w:rPr>
                <w:sz w:val="28"/>
                <w:szCs w:val="28"/>
                <w:lang w:val="en-US"/>
              </w:rPr>
              <w:t>GFL</w:t>
            </w:r>
            <w:r w:rsidRPr="006952C0">
              <w:rPr>
                <w:sz w:val="28"/>
                <w:szCs w:val="28"/>
              </w:rPr>
              <w:t xml:space="preserve">-1002, с микропроцессором; Ламинарный шкаф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Kojair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Tech</w:t>
            </w:r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Oy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NU</w:t>
            </w:r>
            <w:r w:rsidRPr="006952C0">
              <w:rPr>
                <w:sz w:val="28"/>
                <w:szCs w:val="28"/>
              </w:rPr>
              <w:t>-437-400</w:t>
            </w:r>
            <w:r w:rsidRPr="006952C0">
              <w:rPr>
                <w:sz w:val="28"/>
                <w:szCs w:val="28"/>
                <w:lang w:val="en-US"/>
              </w:rPr>
              <w:t>E</w:t>
            </w:r>
            <w:r w:rsidRPr="006952C0">
              <w:rPr>
                <w:sz w:val="28"/>
                <w:szCs w:val="28"/>
              </w:rPr>
              <w:t xml:space="preserve">; Аспиратор с набором насадок </w:t>
            </w:r>
            <w:r w:rsidRPr="006952C0">
              <w:rPr>
                <w:sz w:val="28"/>
                <w:szCs w:val="28"/>
                <w:lang w:val="en-US"/>
              </w:rPr>
              <w:t>GSAS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F</w:t>
            </w:r>
            <w:r w:rsidRPr="006952C0">
              <w:rPr>
                <w:sz w:val="28"/>
                <w:szCs w:val="28"/>
              </w:rPr>
              <w:t xml:space="preserve">110741; Камера для горизонтального (ДНК) электрофореза </w:t>
            </w:r>
            <w:r w:rsidRPr="006952C0">
              <w:rPr>
                <w:sz w:val="28"/>
                <w:szCs w:val="28"/>
                <w:lang w:val="en-US"/>
              </w:rPr>
              <w:t>Sub</w:t>
            </w:r>
            <w:r w:rsidRPr="006952C0">
              <w:rPr>
                <w:sz w:val="28"/>
                <w:szCs w:val="28"/>
              </w:rPr>
              <w:t>-</w:t>
            </w:r>
            <w:r w:rsidRPr="006952C0">
              <w:rPr>
                <w:sz w:val="28"/>
                <w:szCs w:val="28"/>
                <w:lang w:val="en-US"/>
              </w:rPr>
              <w:t>Cell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GT</w:t>
            </w:r>
            <w:r w:rsidRPr="006952C0">
              <w:rPr>
                <w:sz w:val="28"/>
                <w:szCs w:val="28"/>
              </w:rPr>
              <w:t xml:space="preserve"> 15</w:t>
            </w:r>
            <w:r w:rsidRPr="006952C0">
              <w:rPr>
                <w:sz w:val="28"/>
                <w:szCs w:val="28"/>
                <w:lang w:val="en-US"/>
              </w:rPr>
              <w:t>x</w:t>
            </w:r>
            <w:r w:rsidRPr="006952C0">
              <w:rPr>
                <w:sz w:val="28"/>
                <w:szCs w:val="28"/>
              </w:rPr>
              <w:t xml:space="preserve">10 см, 15 </w:t>
            </w:r>
            <w:r w:rsidRPr="006952C0">
              <w:rPr>
                <w:sz w:val="28"/>
                <w:szCs w:val="28"/>
                <w:lang w:val="en-US"/>
              </w:rPr>
              <w:t>c</w:t>
            </w:r>
            <w:r w:rsidRPr="006952C0">
              <w:rPr>
                <w:sz w:val="28"/>
                <w:szCs w:val="28"/>
              </w:rPr>
              <w:t xml:space="preserve"> залив. столик , </w:t>
            </w:r>
            <w:r w:rsidRPr="006952C0">
              <w:rPr>
                <w:sz w:val="28"/>
                <w:szCs w:val="28"/>
                <w:lang w:val="en-US"/>
              </w:rPr>
              <w:t>Bio</w:t>
            </w:r>
            <w:r w:rsidRPr="006952C0">
              <w:rPr>
                <w:sz w:val="28"/>
                <w:szCs w:val="28"/>
              </w:rPr>
              <w:t>-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Rad</w:t>
            </w:r>
            <w:proofErr w:type="spellEnd"/>
            <w:r w:rsidRPr="006952C0">
              <w:rPr>
                <w:sz w:val="28"/>
                <w:szCs w:val="28"/>
              </w:rPr>
              <w:t xml:space="preserve">; Термостат твердотельный 'Гном' , ТТ-1-?ДНК-Техн.?; Весы прецизионные </w:t>
            </w:r>
            <w:r w:rsidRPr="006952C0">
              <w:rPr>
                <w:sz w:val="28"/>
                <w:szCs w:val="28"/>
                <w:lang w:val="en-US"/>
              </w:rPr>
              <w:t>OH</w:t>
            </w:r>
            <w:r w:rsidRPr="006952C0">
              <w:rPr>
                <w:sz w:val="28"/>
                <w:szCs w:val="28"/>
              </w:rPr>
              <w:t>-</w:t>
            </w:r>
            <w:r w:rsidRPr="006952C0">
              <w:rPr>
                <w:sz w:val="28"/>
                <w:szCs w:val="28"/>
                <w:lang w:val="en-US"/>
              </w:rPr>
              <w:t>PA</w:t>
            </w:r>
            <w:r w:rsidRPr="006952C0">
              <w:rPr>
                <w:sz w:val="28"/>
                <w:szCs w:val="28"/>
              </w:rPr>
              <w:t>512</w:t>
            </w:r>
            <w:r w:rsidRPr="006952C0">
              <w:rPr>
                <w:sz w:val="28"/>
                <w:szCs w:val="28"/>
                <w:lang w:val="en-US"/>
              </w:rPr>
              <w:t>C</w:t>
            </w:r>
            <w:r w:rsidRPr="006952C0">
              <w:rPr>
                <w:sz w:val="28"/>
                <w:szCs w:val="28"/>
              </w:rPr>
              <w:t xml:space="preserve"> ?</w:t>
            </w:r>
            <w:r w:rsidRPr="006952C0">
              <w:rPr>
                <w:sz w:val="28"/>
                <w:szCs w:val="28"/>
                <w:lang w:val="en-US"/>
              </w:rPr>
              <w:t>Pioneer</w:t>
            </w:r>
            <w:r w:rsidRPr="006952C0">
              <w:rPr>
                <w:sz w:val="28"/>
                <w:szCs w:val="28"/>
              </w:rPr>
              <w:t xml:space="preserve">? </w:t>
            </w:r>
            <w:proofErr w:type="spellStart"/>
            <w:r w:rsidRPr="006952C0">
              <w:rPr>
                <w:sz w:val="28"/>
                <w:szCs w:val="28"/>
              </w:rPr>
              <w:t>рН-метр</w:t>
            </w:r>
            <w:proofErr w:type="spellEnd"/>
            <w:r w:rsidRPr="006952C0">
              <w:rPr>
                <w:sz w:val="28"/>
                <w:szCs w:val="28"/>
              </w:rPr>
              <w:t xml:space="preserve"> + электрод ?</w:t>
            </w:r>
            <w:r w:rsidRPr="006952C0">
              <w:rPr>
                <w:sz w:val="28"/>
                <w:szCs w:val="28"/>
                <w:lang w:val="en-US"/>
              </w:rPr>
              <w:t>Hanna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Instruments</w:t>
            </w:r>
            <w:r w:rsidRPr="006952C0">
              <w:rPr>
                <w:sz w:val="28"/>
                <w:szCs w:val="28"/>
              </w:rPr>
              <w:t xml:space="preserve">? HI 2210; Центрифуга </w:t>
            </w:r>
            <w:proofErr w:type="spellStart"/>
            <w:r w:rsidRPr="006952C0">
              <w:rPr>
                <w:sz w:val="28"/>
                <w:szCs w:val="28"/>
              </w:rPr>
              <w:t>BS-Microspin</w:t>
            </w:r>
            <w:proofErr w:type="spellEnd"/>
            <w:r w:rsidRPr="006952C0">
              <w:rPr>
                <w:sz w:val="28"/>
                <w:szCs w:val="28"/>
              </w:rPr>
              <w:t xml:space="preserve"> 14500 об/мин на 12х1.5/2 мл; Центрифуга на 24 образца </w:t>
            </w:r>
            <w:proofErr w:type="spellStart"/>
            <w:r w:rsidRPr="006952C0">
              <w:rPr>
                <w:sz w:val="28"/>
                <w:szCs w:val="28"/>
              </w:rPr>
              <w:t>Micro</w:t>
            </w:r>
            <w:proofErr w:type="spellEnd"/>
            <w:r w:rsidRPr="006952C0">
              <w:rPr>
                <w:sz w:val="28"/>
                <w:szCs w:val="28"/>
              </w:rPr>
              <w:t xml:space="preserve"> 120 (</w:t>
            </w:r>
            <w:proofErr w:type="spellStart"/>
            <w:r w:rsidRPr="006952C0">
              <w:rPr>
                <w:sz w:val="28"/>
                <w:szCs w:val="28"/>
              </w:rPr>
              <w:t>Hettich</w:t>
            </w:r>
            <w:proofErr w:type="spellEnd"/>
            <w:r w:rsidRPr="006952C0">
              <w:rPr>
                <w:sz w:val="28"/>
                <w:szCs w:val="28"/>
              </w:rPr>
              <w:t xml:space="preserve">, </w:t>
            </w:r>
            <w:proofErr w:type="spellStart"/>
            <w:r w:rsidRPr="006952C0">
              <w:rPr>
                <w:sz w:val="28"/>
                <w:szCs w:val="28"/>
              </w:rPr>
              <w:t>Герамания</w:t>
            </w:r>
            <w:proofErr w:type="spellEnd"/>
            <w:r w:rsidRPr="006952C0">
              <w:rPr>
                <w:sz w:val="28"/>
                <w:szCs w:val="28"/>
              </w:rPr>
              <w:t xml:space="preserve">); Микроволновая печь </w:t>
            </w:r>
            <w:proofErr w:type="spellStart"/>
            <w:r w:rsidRPr="006952C0">
              <w:rPr>
                <w:sz w:val="28"/>
                <w:szCs w:val="28"/>
              </w:rPr>
              <w:t>Rolsen</w:t>
            </w:r>
            <w:proofErr w:type="spellEnd"/>
            <w:r w:rsidRPr="006952C0">
              <w:rPr>
                <w:sz w:val="28"/>
                <w:szCs w:val="28"/>
              </w:rPr>
              <w:t xml:space="preserve"> MG2380S; Центрифуга с охлаждением ?</w:t>
            </w:r>
            <w:proofErr w:type="spellStart"/>
            <w:r w:rsidRPr="006952C0">
              <w:rPr>
                <w:sz w:val="28"/>
                <w:szCs w:val="28"/>
              </w:rPr>
              <w:t>Hermle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</w:rPr>
              <w:t>Labortechnik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</w:rPr>
              <w:t>GmbH</w:t>
            </w:r>
            <w:proofErr w:type="spellEnd"/>
            <w:r w:rsidRPr="006952C0">
              <w:rPr>
                <w:sz w:val="28"/>
                <w:szCs w:val="28"/>
              </w:rPr>
              <w:t xml:space="preserve">? серия Z 32 модель 6 К Шейкер-рокер BS-010130-AAI MR-12, </w:t>
            </w:r>
            <w:proofErr w:type="spellStart"/>
            <w:r w:rsidRPr="006952C0">
              <w:rPr>
                <w:sz w:val="28"/>
                <w:szCs w:val="28"/>
              </w:rPr>
              <w:t>BioSan</w:t>
            </w:r>
            <w:proofErr w:type="spellEnd"/>
            <w:r w:rsidRPr="006952C0">
              <w:rPr>
                <w:sz w:val="28"/>
                <w:szCs w:val="28"/>
              </w:rPr>
              <w:t>; Шейкер-инкубатор BS-</w:t>
            </w:r>
            <w:r w:rsidRPr="006952C0">
              <w:rPr>
                <w:sz w:val="28"/>
                <w:szCs w:val="28"/>
              </w:rPr>
              <w:lastRenderedPageBreak/>
              <w:t xml:space="preserve">010111-AAА ES-20/UP-12 </w:t>
            </w:r>
            <w:proofErr w:type="spellStart"/>
            <w:r w:rsidRPr="006952C0">
              <w:rPr>
                <w:sz w:val="28"/>
                <w:szCs w:val="28"/>
              </w:rPr>
              <w:t>BioSan</w:t>
            </w:r>
            <w:proofErr w:type="spellEnd"/>
            <w:r w:rsidRPr="006952C0">
              <w:rPr>
                <w:sz w:val="28"/>
                <w:szCs w:val="28"/>
              </w:rPr>
              <w:t xml:space="preserve"> (2 штуки); </w:t>
            </w:r>
            <w:proofErr w:type="spellStart"/>
            <w:r w:rsidRPr="006952C0">
              <w:rPr>
                <w:sz w:val="28"/>
                <w:szCs w:val="28"/>
              </w:rPr>
              <w:t>Миниротатор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</w:rPr>
              <w:t>Multi</w:t>
            </w:r>
            <w:proofErr w:type="spellEnd"/>
            <w:r w:rsidRPr="006952C0">
              <w:rPr>
                <w:sz w:val="28"/>
                <w:szCs w:val="28"/>
              </w:rPr>
              <w:t xml:space="preserve"> BioRS-24 программируемый с платформой PRS-26, </w:t>
            </w:r>
            <w:proofErr w:type="spellStart"/>
            <w:r w:rsidRPr="006952C0">
              <w:rPr>
                <w:sz w:val="28"/>
                <w:szCs w:val="28"/>
              </w:rPr>
              <w:t>BioSan</w:t>
            </w:r>
            <w:proofErr w:type="spellEnd"/>
            <w:r w:rsidRPr="006952C0">
              <w:rPr>
                <w:sz w:val="28"/>
                <w:szCs w:val="28"/>
              </w:rPr>
              <w:t xml:space="preserve">;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в) Стажировка И.Б. </w:t>
            </w:r>
            <w:proofErr w:type="spellStart"/>
            <w:r w:rsidRPr="006952C0">
              <w:rPr>
                <w:sz w:val="28"/>
                <w:szCs w:val="28"/>
              </w:rPr>
              <w:t>Частухиной</w:t>
            </w:r>
            <w:proofErr w:type="spellEnd"/>
            <w:r w:rsidRPr="006952C0">
              <w:rPr>
                <w:sz w:val="28"/>
                <w:szCs w:val="28"/>
              </w:rPr>
              <w:t xml:space="preserve"> в Техасском университете, A&amp;M (США).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г) Опубликовано </w:t>
            </w:r>
            <w:r w:rsidR="006952C0" w:rsidRPr="006952C0">
              <w:rPr>
                <w:sz w:val="28"/>
                <w:szCs w:val="28"/>
              </w:rPr>
              <w:t>7</w:t>
            </w:r>
            <w:r w:rsidRPr="006952C0">
              <w:rPr>
                <w:sz w:val="28"/>
                <w:szCs w:val="28"/>
              </w:rPr>
              <w:t xml:space="preserve"> статей</w:t>
            </w:r>
          </w:p>
          <w:p w:rsidR="0093726A" w:rsidRPr="006952C0" w:rsidRDefault="0093726A" w:rsidP="00A43686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ab/>
            </w:r>
          </w:p>
          <w:p w:rsidR="0093726A" w:rsidRPr="006952C0" w:rsidRDefault="0093726A" w:rsidP="00A43686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  <w:lang w:val="en-US"/>
              </w:rPr>
              <w:t>Lovell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J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T</w:t>
            </w:r>
            <w:r w:rsidRPr="006952C0">
              <w:rPr>
                <w:sz w:val="28"/>
                <w:szCs w:val="28"/>
              </w:rPr>
              <w:t xml:space="preserve">., </w:t>
            </w:r>
            <w:r w:rsidRPr="006952C0">
              <w:rPr>
                <w:sz w:val="28"/>
                <w:szCs w:val="28"/>
                <w:lang w:val="en-US"/>
              </w:rPr>
              <w:t>Schwartz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S</w:t>
            </w:r>
            <w:r w:rsidRPr="006952C0">
              <w:rPr>
                <w:sz w:val="28"/>
                <w:szCs w:val="28"/>
              </w:rPr>
              <w:t xml:space="preserve">., </w:t>
            </w:r>
            <w:r w:rsidRPr="006952C0">
              <w:rPr>
                <w:sz w:val="28"/>
                <w:szCs w:val="28"/>
                <w:lang w:val="en-US"/>
              </w:rPr>
              <w:t>Lowry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D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B</w:t>
            </w:r>
            <w:r w:rsidRPr="006952C0">
              <w:rPr>
                <w:sz w:val="28"/>
                <w:szCs w:val="28"/>
              </w:rPr>
              <w:t xml:space="preserve">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Shakirov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E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V</w:t>
            </w:r>
            <w:r w:rsidRPr="006952C0">
              <w:rPr>
                <w:sz w:val="28"/>
                <w:szCs w:val="28"/>
              </w:rPr>
              <w:t xml:space="preserve">., </w:t>
            </w:r>
            <w:r w:rsidRPr="006952C0">
              <w:rPr>
                <w:sz w:val="28"/>
                <w:szCs w:val="28"/>
                <w:lang w:val="en-US"/>
              </w:rPr>
              <w:t>Jenkins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J</w:t>
            </w:r>
            <w:r w:rsidRPr="006952C0">
              <w:rPr>
                <w:sz w:val="28"/>
                <w:szCs w:val="28"/>
              </w:rPr>
              <w:t xml:space="preserve">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Schmutz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J</w:t>
            </w:r>
            <w:r w:rsidRPr="006952C0">
              <w:rPr>
                <w:sz w:val="28"/>
                <w:szCs w:val="28"/>
              </w:rPr>
              <w:t xml:space="preserve">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Juenger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T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E</w:t>
            </w:r>
            <w:r w:rsidRPr="006952C0">
              <w:rPr>
                <w:sz w:val="28"/>
                <w:szCs w:val="28"/>
              </w:rPr>
              <w:t xml:space="preserve">. </w:t>
            </w:r>
          </w:p>
          <w:p w:rsidR="0093726A" w:rsidRPr="006952C0" w:rsidRDefault="0093726A" w:rsidP="00A43686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>Drought responsive gene expression regulatory divergence between upland and lowland ecotypes of a perennial C4 grass</w:t>
            </w:r>
          </w:p>
          <w:p w:rsidR="0093726A" w:rsidRPr="006952C0" w:rsidRDefault="0093726A" w:rsidP="00A43686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>Genome Research, 2016 March 7. doi:10.1101/gr.198135.115 (IF=14.63)</w:t>
            </w:r>
          </w:p>
          <w:p w:rsidR="0093726A" w:rsidRPr="006952C0" w:rsidRDefault="0093726A" w:rsidP="00A43686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ab/>
            </w:r>
          </w:p>
          <w:p w:rsidR="0093726A" w:rsidRPr="006952C0" w:rsidRDefault="0093726A" w:rsidP="00A43686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Yang H.J.,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Bogomolnaya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L.M.,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Elfenbein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J.R., Endicott-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Yazdani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T., Reynolds M.M.,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Porwollik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S., Cheng P., Xia X.Q., McClelland M., Andrews-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Polymenis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H.</w:t>
            </w:r>
          </w:p>
          <w:p w:rsidR="0093726A" w:rsidRPr="006952C0" w:rsidRDefault="0093726A" w:rsidP="00A43686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>Novel two-step hierarchical screening of mutant pools reveals mutants under selection in chicks.</w:t>
            </w:r>
          </w:p>
          <w:p w:rsidR="0093726A" w:rsidRPr="006952C0" w:rsidRDefault="0093726A" w:rsidP="00A43686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Infect Immun. 2016 Feb 8.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pii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>: IAI.01525-15. PMID</w:t>
            </w:r>
            <w:r w:rsidRPr="006952C0">
              <w:rPr>
                <w:sz w:val="28"/>
                <w:szCs w:val="28"/>
              </w:rPr>
              <w:t>:26857572 (</w:t>
            </w:r>
            <w:r w:rsidRPr="006952C0">
              <w:rPr>
                <w:sz w:val="28"/>
                <w:szCs w:val="28"/>
                <w:lang w:val="en-US"/>
              </w:rPr>
              <w:t>IF</w:t>
            </w:r>
            <w:r w:rsidRPr="006952C0">
              <w:rPr>
                <w:sz w:val="28"/>
                <w:szCs w:val="28"/>
              </w:rPr>
              <w:t>=3.73)</w:t>
            </w:r>
          </w:p>
          <w:p w:rsidR="0093726A" w:rsidRPr="006952C0" w:rsidRDefault="0093726A" w:rsidP="00A43686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ab/>
            </w:r>
          </w:p>
          <w:p w:rsidR="0093726A" w:rsidRPr="006952C0" w:rsidRDefault="0093726A" w:rsidP="00212E8C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Балабан, Н.П. Структурные особенности и </w:t>
            </w:r>
            <w:r w:rsidRPr="006952C0">
              <w:rPr>
                <w:sz w:val="28"/>
                <w:szCs w:val="28"/>
              </w:rPr>
              <w:lastRenderedPageBreak/>
              <w:t xml:space="preserve">механизм катализа </w:t>
            </w:r>
            <w:r w:rsidRPr="006952C0">
              <w:rPr>
                <w:sz w:val="28"/>
                <w:szCs w:val="28"/>
                <w:lang w:val="en-US"/>
              </w:rPr>
              <w:t>β</w:t>
            </w:r>
            <w:r w:rsidRPr="006952C0">
              <w:rPr>
                <w:sz w:val="28"/>
                <w:szCs w:val="28"/>
              </w:rPr>
              <w:t xml:space="preserve">-пропеллерных </w:t>
            </w:r>
            <w:proofErr w:type="spellStart"/>
            <w:r w:rsidRPr="006952C0">
              <w:rPr>
                <w:sz w:val="28"/>
                <w:szCs w:val="28"/>
              </w:rPr>
              <w:t>фитаз</w:t>
            </w:r>
            <w:proofErr w:type="spellEnd"/>
            <w:r w:rsidRPr="006952C0">
              <w:rPr>
                <w:sz w:val="28"/>
                <w:szCs w:val="28"/>
              </w:rPr>
              <w:t xml:space="preserve"> бацилл. [Текст] / Н.П. Балабан, А.Д. Сулейманова, Л.Р. </w:t>
            </w:r>
            <w:proofErr w:type="spellStart"/>
            <w:r w:rsidRPr="006952C0">
              <w:rPr>
                <w:sz w:val="28"/>
                <w:szCs w:val="28"/>
              </w:rPr>
              <w:t>Валеева</w:t>
            </w:r>
            <w:proofErr w:type="spellEnd"/>
            <w:r w:rsidRPr="006952C0">
              <w:rPr>
                <w:sz w:val="28"/>
                <w:szCs w:val="28"/>
              </w:rPr>
              <w:t xml:space="preserve">, Е.В. Шакиров, М.Р.  </w:t>
            </w:r>
            <w:proofErr w:type="spellStart"/>
            <w:r w:rsidRPr="006952C0">
              <w:rPr>
                <w:sz w:val="28"/>
                <w:szCs w:val="28"/>
              </w:rPr>
              <w:t>Шарипова</w:t>
            </w:r>
            <w:proofErr w:type="spellEnd"/>
            <w:r w:rsidRPr="006952C0">
              <w:rPr>
                <w:sz w:val="28"/>
                <w:szCs w:val="28"/>
              </w:rPr>
              <w:t xml:space="preserve"> // Биохимия. – 2016. - Т.81, № 8. - С.1013-1022.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WoS</w:t>
            </w:r>
            <w:proofErr w:type="spellEnd"/>
            <w:r w:rsidRPr="006952C0">
              <w:rPr>
                <w:sz w:val="28"/>
                <w:szCs w:val="28"/>
              </w:rPr>
              <w:t xml:space="preserve">, </w:t>
            </w:r>
            <w:r w:rsidRPr="006952C0">
              <w:rPr>
                <w:sz w:val="28"/>
                <w:szCs w:val="28"/>
                <w:lang w:val="en-US"/>
              </w:rPr>
              <w:t>Scopus</w:t>
            </w:r>
            <w:r w:rsidRPr="006952C0">
              <w:rPr>
                <w:sz w:val="28"/>
                <w:szCs w:val="28"/>
              </w:rPr>
              <w:t>, ВАК</w:t>
            </w:r>
          </w:p>
          <w:p w:rsidR="0093726A" w:rsidRPr="006952C0" w:rsidRDefault="0093726A" w:rsidP="00212E8C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 w:rsidP="00212E8C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Рудакова, Н.Л. Особенности экспрессии гена </w:t>
            </w:r>
            <w:proofErr w:type="spellStart"/>
            <w:r w:rsidRPr="006952C0">
              <w:rPr>
                <w:sz w:val="28"/>
                <w:szCs w:val="28"/>
              </w:rPr>
              <w:t>металлоэндопептидазы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Bacillus</w:t>
            </w:r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pumilus</w:t>
            </w:r>
            <w:proofErr w:type="spellEnd"/>
            <w:r w:rsidRPr="006952C0">
              <w:rPr>
                <w:sz w:val="28"/>
                <w:szCs w:val="28"/>
              </w:rPr>
              <w:t xml:space="preserve"> [Текст] / Н.Л. Рудакова, А.Р. </w:t>
            </w:r>
            <w:proofErr w:type="spellStart"/>
            <w:r w:rsidRPr="006952C0">
              <w:rPr>
                <w:sz w:val="28"/>
                <w:szCs w:val="28"/>
              </w:rPr>
              <w:t>Сабирова</w:t>
            </w:r>
            <w:proofErr w:type="spellEnd"/>
            <w:r w:rsidRPr="006952C0">
              <w:rPr>
                <w:sz w:val="28"/>
                <w:szCs w:val="28"/>
              </w:rPr>
              <w:t xml:space="preserve">, Н.П. Балабан, А.О. Тихонова, М.Р. </w:t>
            </w:r>
            <w:proofErr w:type="spellStart"/>
            <w:r w:rsidRPr="006952C0">
              <w:rPr>
                <w:sz w:val="28"/>
                <w:szCs w:val="28"/>
              </w:rPr>
              <w:t>Шарипова</w:t>
            </w:r>
            <w:proofErr w:type="spellEnd"/>
            <w:r w:rsidRPr="006952C0">
              <w:rPr>
                <w:sz w:val="28"/>
                <w:szCs w:val="28"/>
              </w:rPr>
              <w:t xml:space="preserve"> // Биохимия. – 2016. - Т.81, № 8. - С.1125-1132. (принята в печать)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WoS</w:t>
            </w:r>
            <w:proofErr w:type="spellEnd"/>
            <w:r w:rsidRPr="006952C0">
              <w:rPr>
                <w:sz w:val="28"/>
                <w:szCs w:val="28"/>
              </w:rPr>
              <w:t xml:space="preserve">, </w:t>
            </w:r>
            <w:r w:rsidRPr="006952C0">
              <w:rPr>
                <w:sz w:val="28"/>
                <w:szCs w:val="28"/>
                <w:lang w:val="en-US"/>
              </w:rPr>
              <w:t>Scopus</w:t>
            </w:r>
            <w:r w:rsidRPr="006952C0">
              <w:rPr>
                <w:sz w:val="28"/>
                <w:szCs w:val="28"/>
              </w:rPr>
              <w:t>, ВАК</w:t>
            </w:r>
          </w:p>
          <w:p w:rsidR="0093726A" w:rsidRPr="006952C0" w:rsidRDefault="0093726A" w:rsidP="00212E8C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 w:rsidP="00212E8C">
            <w:pPr>
              <w:jc w:val="both"/>
              <w:rPr>
                <w:sz w:val="28"/>
                <w:szCs w:val="28"/>
              </w:rPr>
            </w:pPr>
            <w:proofErr w:type="spellStart"/>
            <w:r w:rsidRPr="006952C0">
              <w:rPr>
                <w:sz w:val="28"/>
                <w:szCs w:val="28"/>
              </w:rPr>
              <w:t>Тойменцева</w:t>
            </w:r>
            <w:proofErr w:type="spellEnd"/>
            <w:r w:rsidRPr="006952C0">
              <w:rPr>
                <w:sz w:val="28"/>
                <w:szCs w:val="28"/>
              </w:rPr>
              <w:t xml:space="preserve">, А.А. Получение </w:t>
            </w:r>
            <w:proofErr w:type="spellStart"/>
            <w:r w:rsidRPr="006952C0">
              <w:rPr>
                <w:sz w:val="28"/>
                <w:szCs w:val="28"/>
              </w:rPr>
              <w:t>рекомбинантных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</w:rPr>
              <w:t>протеиназ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Bacillus</w:t>
            </w:r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pumilus</w:t>
            </w:r>
            <w:proofErr w:type="spellEnd"/>
            <w:r w:rsidRPr="006952C0">
              <w:rPr>
                <w:sz w:val="28"/>
                <w:szCs w:val="28"/>
              </w:rPr>
              <w:t xml:space="preserve">, расщепляющих </w:t>
            </w:r>
            <w:r w:rsidRPr="006952C0">
              <w:rPr>
                <w:sz w:val="28"/>
                <w:szCs w:val="28"/>
                <w:lang w:val="en-US"/>
              </w:rPr>
              <w:t>β</w:t>
            </w:r>
            <w:r w:rsidRPr="006952C0">
              <w:rPr>
                <w:sz w:val="28"/>
                <w:szCs w:val="28"/>
              </w:rPr>
              <w:t xml:space="preserve">-амилоидный пептид [Текст] / А.А. </w:t>
            </w:r>
            <w:proofErr w:type="spellStart"/>
            <w:r w:rsidRPr="006952C0">
              <w:rPr>
                <w:sz w:val="28"/>
                <w:szCs w:val="28"/>
              </w:rPr>
              <w:t>Тойменцева</w:t>
            </w:r>
            <w:proofErr w:type="spellEnd"/>
            <w:r w:rsidRPr="006952C0">
              <w:rPr>
                <w:sz w:val="28"/>
                <w:szCs w:val="28"/>
              </w:rPr>
              <w:t xml:space="preserve">, Ю.В. Данилова, А.О. Тихонова, М.Р. </w:t>
            </w:r>
            <w:proofErr w:type="spellStart"/>
            <w:r w:rsidRPr="006952C0">
              <w:rPr>
                <w:sz w:val="28"/>
                <w:szCs w:val="28"/>
              </w:rPr>
              <w:t>Шарипова</w:t>
            </w:r>
            <w:proofErr w:type="spellEnd"/>
            <w:r w:rsidRPr="006952C0">
              <w:rPr>
                <w:sz w:val="28"/>
                <w:szCs w:val="28"/>
              </w:rPr>
              <w:t xml:space="preserve">, Н.П. Балабан // Биоорганическая химия. – 2016. - Т.42, №1. - С.62-68. (включена в отчет 2015 года, т.к. должна была выйти в 2015).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WoS</w:t>
            </w:r>
            <w:proofErr w:type="spellEnd"/>
            <w:r w:rsidRPr="006952C0">
              <w:rPr>
                <w:sz w:val="28"/>
                <w:szCs w:val="28"/>
              </w:rPr>
              <w:t xml:space="preserve">, </w:t>
            </w:r>
            <w:r w:rsidRPr="006952C0">
              <w:rPr>
                <w:sz w:val="28"/>
                <w:szCs w:val="28"/>
                <w:lang w:val="en-US"/>
              </w:rPr>
              <w:t>Scopus</w:t>
            </w:r>
            <w:r w:rsidRPr="006952C0">
              <w:rPr>
                <w:sz w:val="28"/>
                <w:szCs w:val="28"/>
              </w:rPr>
              <w:t>, ВАК</w:t>
            </w:r>
          </w:p>
          <w:p w:rsidR="0093726A" w:rsidRPr="006952C0" w:rsidRDefault="0093726A" w:rsidP="00212E8C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 w:rsidP="00212E8C">
            <w:pPr>
              <w:jc w:val="both"/>
              <w:rPr>
                <w:sz w:val="28"/>
                <w:szCs w:val="28"/>
              </w:rPr>
            </w:pPr>
            <w:proofErr w:type="spellStart"/>
            <w:r w:rsidRPr="006952C0">
              <w:rPr>
                <w:sz w:val="28"/>
                <w:szCs w:val="28"/>
              </w:rPr>
              <w:t>Низамутдинова</w:t>
            </w:r>
            <w:proofErr w:type="spellEnd"/>
            <w:r w:rsidRPr="006952C0">
              <w:rPr>
                <w:sz w:val="28"/>
                <w:szCs w:val="28"/>
              </w:rPr>
              <w:t xml:space="preserve"> Э.Х. Характеристика </w:t>
            </w:r>
            <w:proofErr w:type="spellStart"/>
            <w:r w:rsidRPr="006952C0">
              <w:rPr>
                <w:sz w:val="28"/>
                <w:szCs w:val="28"/>
              </w:rPr>
              <w:t>нативных</w:t>
            </w:r>
            <w:proofErr w:type="spellEnd"/>
            <w:r w:rsidRPr="006952C0">
              <w:rPr>
                <w:sz w:val="28"/>
                <w:szCs w:val="28"/>
              </w:rPr>
              <w:t xml:space="preserve"> и мутантных штаммов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marcencens</w:t>
            </w:r>
            <w:proofErr w:type="spellEnd"/>
            <w:r w:rsidRPr="006952C0">
              <w:rPr>
                <w:sz w:val="28"/>
                <w:szCs w:val="28"/>
              </w:rPr>
              <w:t xml:space="preserve"> [Текст] /Э. Х. </w:t>
            </w:r>
            <w:proofErr w:type="spellStart"/>
            <w:r w:rsidRPr="006952C0">
              <w:rPr>
                <w:sz w:val="28"/>
                <w:szCs w:val="28"/>
              </w:rPr>
              <w:t>Низамутдинова</w:t>
            </w:r>
            <w:proofErr w:type="spellEnd"/>
            <w:r w:rsidRPr="006952C0">
              <w:rPr>
                <w:sz w:val="28"/>
                <w:szCs w:val="28"/>
              </w:rPr>
              <w:t xml:space="preserve">, Т. В. </w:t>
            </w:r>
            <w:proofErr w:type="spellStart"/>
            <w:r w:rsidRPr="006952C0">
              <w:rPr>
                <w:sz w:val="28"/>
                <w:szCs w:val="28"/>
              </w:rPr>
              <w:t>Ширшикова</w:t>
            </w:r>
            <w:proofErr w:type="spellEnd"/>
            <w:r w:rsidRPr="006952C0">
              <w:rPr>
                <w:sz w:val="28"/>
                <w:szCs w:val="28"/>
              </w:rPr>
              <w:t xml:space="preserve">, А. М. </w:t>
            </w:r>
            <w:proofErr w:type="spellStart"/>
            <w:r w:rsidRPr="006952C0">
              <w:rPr>
                <w:sz w:val="28"/>
                <w:szCs w:val="28"/>
              </w:rPr>
              <w:t>Марданова</w:t>
            </w:r>
            <w:proofErr w:type="spellEnd"/>
            <w:r w:rsidRPr="006952C0">
              <w:rPr>
                <w:sz w:val="28"/>
                <w:szCs w:val="28"/>
              </w:rPr>
              <w:t xml:space="preserve">, М. Р. </w:t>
            </w:r>
            <w:proofErr w:type="spellStart"/>
            <w:r w:rsidRPr="006952C0">
              <w:rPr>
                <w:sz w:val="28"/>
                <w:szCs w:val="28"/>
              </w:rPr>
              <w:t>Шарипова</w:t>
            </w:r>
            <w:proofErr w:type="spellEnd"/>
            <w:r w:rsidRPr="006952C0">
              <w:rPr>
                <w:sz w:val="28"/>
                <w:szCs w:val="28"/>
              </w:rPr>
              <w:t xml:space="preserve">, Л. М. Богомольная // </w:t>
            </w:r>
            <w:r w:rsidRPr="006952C0">
              <w:rPr>
                <w:sz w:val="28"/>
                <w:szCs w:val="28"/>
              </w:rPr>
              <w:lastRenderedPageBreak/>
              <w:t xml:space="preserve">Микробиология. МАИК НАУКА/ИНТЕРПЕРИОДИКА. – 2016 – Т.85 – </w:t>
            </w:r>
            <w:r w:rsidRPr="006952C0">
              <w:rPr>
                <w:sz w:val="28"/>
                <w:szCs w:val="28"/>
                <w:lang w:val="en-US"/>
              </w:rPr>
              <w:t>N</w:t>
            </w:r>
            <w:r w:rsidRPr="006952C0">
              <w:rPr>
                <w:sz w:val="28"/>
                <w:szCs w:val="28"/>
              </w:rPr>
              <w:t xml:space="preserve"> 1. – С. 36-41. ( </w:t>
            </w:r>
            <w:r w:rsidRPr="006952C0">
              <w:rPr>
                <w:sz w:val="28"/>
                <w:szCs w:val="28"/>
                <w:lang w:val="en-US"/>
              </w:rPr>
              <w:t>SCOPUS</w:t>
            </w:r>
            <w:r w:rsidRPr="006952C0">
              <w:rPr>
                <w:sz w:val="28"/>
                <w:szCs w:val="28"/>
              </w:rPr>
              <w:t xml:space="preserve">, </w:t>
            </w:r>
            <w:r w:rsidRPr="006952C0">
              <w:rPr>
                <w:sz w:val="28"/>
                <w:szCs w:val="28"/>
                <w:lang w:val="en-US"/>
              </w:rPr>
              <w:t>Google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Scholar</w:t>
            </w:r>
            <w:r w:rsidRPr="006952C0">
              <w:rPr>
                <w:sz w:val="28"/>
                <w:szCs w:val="28"/>
              </w:rPr>
              <w:t>)</w:t>
            </w:r>
          </w:p>
          <w:p w:rsidR="0093726A" w:rsidRPr="006952C0" w:rsidRDefault="0093726A" w:rsidP="00212E8C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 w:rsidP="00212E8C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Матросова, Л.Е. Роль </w:t>
            </w:r>
            <w:proofErr w:type="spellStart"/>
            <w:r w:rsidRPr="006952C0">
              <w:rPr>
                <w:sz w:val="28"/>
                <w:szCs w:val="28"/>
              </w:rPr>
              <w:t>эффлюкс</w:t>
            </w:r>
            <w:proofErr w:type="spellEnd"/>
            <w:r w:rsidRPr="006952C0">
              <w:rPr>
                <w:sz w:val="28"/>
                <w:szCs w:val="28"/>
              </w:rPr>
              <w:t xml:space="preserve"> системы в защите бактерий от </w:t>
            </w:r>
            <w:proofErr w:type="spellStart"/>
            <w:r w:rsidRPr="006952C0">
              <w:rPr>
                <w:sz w:val="28"/>
                <w:szCs w:val="28"/>
              </w:rPr>
              <w:t>оксидативного</w:t>
            </w:r>
            <w:proofErr w:type="spellEnd"/>
            <w:r w:rsidRPr="006952C0">
              <w:rPr>
                <w:sz w:val="28"/>
                <w:szCs w:val="28"/>
              </w:rPr>
              <w:t xml:space="preserve"> стресса / Л.Е. Матросова, Т.В. </w:t>
            </w:r>
            <w:proofErr w:type="spellStart"/>
            <w:r w:rsidRPr="006952C0">
              <w:rPr>
                <w:sz w:val="28"/>
                <w:szCs w:val="28"/>
              </w:rPr>
              <w:t>Ширшикова</w:t>
            </w:r>
            <w:proofErr w:type="spellEnd"/>
            <w:r w:rsidRPr="006952C0">
              <w:rPr>
                <w:sz w:val="28"/>
                <w:szCs w:val="28"/>
              </w:rPr>
              <w:t xml:space="preserve">, И.В. </w:t>
            </w:r>
            <w:proofErr w:type="spellStart"/>
            <w:r w:rsidRPr="006952C0">
              <w:rPr>
                <w:sz w:val="28"/>
                <w:szCs w:val="28"/>
              </w:rPr>
              <w:t>Хиляс</w:t>
            </w:r>
            <w:proofErr w:type="spellEnd"/>
            <w:r w:rsidRPr="006952C0">
              <w:rPr>
                <w:sz w:val="28"/>
                <w:szCs w:val="28"/>
              </w:rPr>
              <w:t xml:space="preserve">, Ю.В. Данилова, М.Р. </w:t>
            </w:r>
            <w:proofErr w:type="spellStart"/>
            <w:r w:rsidRPr="006952C0">
              <w:rPr>
                <w:sz w:val="28"/>
                <w:szCs w:val="28"/>
              </w:rPr>
              <w:t>Шарипова</w:t>
            </w:r>
            <w:proofErr w:type="spellEnd"/>
            <w:r w:rsidRPr="006952C0">
              <w:rPr>
                <w:sz w:val="28"/>
                <w:szCs w:val="28"/>
              </w:rPr>
              <w:t>, Л.М. Богомольная // Проблемы медицинской микологии. - 2016. - №2 (РИНЦ, ВАК)</w:t>
            </w:r>
          </w:p>
          <w:p w:rsidR="0093726A" w:rsidRPr="006952C0" w:rsidRDefault="0093726A" w:rsidP="00A43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lastRenderedPageBreak/>
              <w:t xml:space="preserve">2.2.2 Привлечение внешних специалистов и развитие ключевого персонала вуза, рост качества исследовательского и профессорско-преподавательского состава / Реализация </w:t>
            </w:r>
            <w:proofErr w:type="spellStart"/>
            <w:r w:rsidRPr="006952C0">
              <w:rPr>
                <w:sz w:val="28"/>
                <w:szCs w:val="28"/>
              </w:rPr>
              <w:t>грантовой</w:t>
            </w:r>
            <w:proofErr w:type="spellEnd"/>
            <w:r w:rsidRPr="006952C0">
              <w:rPr>
                <w:sz w:val="28"/>
                <w:szCs w:val="28"/>
              </w:rPr>
              <w:t xml:space="preserve"> программы привлечения талантливых молодых исследователей России и мира / Программа грантов для молодых исследователей на конкурсной основе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2.1.1 Привлечение внешних специалистов и развитие ключевого персонала вуза, рост качества исследовательского и </w:t>
            </w:r>
            <w:r w:rsidRPr="006952C0">
              <w:rPr>
                <w:sz w:val="28"/>
                <w:szCs w:val="28"/>
              </w:rPr>
              <w:lastRenderedPageBreak/>
              <w:t xml:space="preserve">профессорско-преподавательского состава / Реализация программы предоставления грантов и программ обмена исследователями с ведущими университетами и исследовательскими центрами / Реализация </w:t>
            </w:r>
            <w:proofErr w:type="spellStart"/>
            <w:r w:rsidRPr="006952C0">
              <w:rPr>
                <w:sz w:val="28"/>
                <w:szCs w:val="28"/>
              </w:rPr>
              <w:t>грантовой</w:t>
            </w:r>
            <w:proofErr w:type="spellEnd"/>
            <w:r w:rsidRPr="006952C0">
              <w:rPr>
                <w:sz w:val="28"/>
                <w:szCs w:val="28"/>
              </w:rPr>
              <w:t xml:space="preserve"> программы привлечения </w:t>
            </w:r>
            <w:proofErr w:type="spellStart"/>
            <w:r w:rsidRPr="006952C0">
              <w:rPr>
                <w:sz w:val="28"/>
                <w:szCs w:val="28"/>
              </w:rPr>
              <w:t>пост-доков</w:t>
            </w:r>
            <w:proofErr w:type="spellEnd"/>
            <w:r w:rsidRPr="006952C0">
              <w:rPr>
                <w:sz w:val="28"/>
                <w:szCs w:val="28"/>
              </w:rPr>
              <w:t xml:space="preserve"> на конкурсной основе из российских и зарубежных университетов и научных организаций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2.1.2 Привлечение внешних специалистов и развитие ключевого персонала вуза, рост качества исследовательского и профессорско-преподавательского состава / Реализация программы предоставления грантов и программ обмена исследователями с ведущими университетами и исследовательскими центрами / Создание системы внутренних </w:t>
            </w:r>
            <w:proofErr w:type="spellStart"/>
            <w:r w:rsidRPr="006952C0">
              <w:rPr>
                <w:sz w:val="28"/>
                <w:szCs w:val="28"/>
              </w:rPr>
              <w:t>пост-доковских</w:t>
            </w:r>
            <w:proofErr w:type="spellEnd"/>
            <w:r w:rsidRPr="006952C0">
              <w:rPr>
                <w:sz w:val="28"/>
                <w:szCs w:val="28"/>
              </w:rPr>
              <w:t xml:space="preserve"> позиций в КФУ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2.3.4 Привлечение внешних специалистов и развитие ключевого персонала вуза, рост качества исследовательского и профессорско-преподавательского состава / Участие в международных, российских, региональных и собственных программах академической мобильности / Модернизация программ повышения </w:t>
            </w:r>
            <w:r w:rsidRPr="006952C0">
              <w:rPr>
                <w:sz w:val="28"/>
                <w:szCs w:val="28"/>
              </w:rPr>
              <w:lastRenderedPageBreak/>
              <w:t xml:space="preserve">квалификации НПР КФУ, организация стажировок в ведущих исследовательских центрах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4.2.2 Развитие прорывных направлений исследований и разработок, отказ от неэффективных направлений деятельности / Создание исследовательских центров (лабораторий) для выдающихся ученых мирового уровня на базе ведущих институтов КФУ / Создание в КФУ новых и совместных научных лабораторий и НОЦ учеными - научными лидерами по приоритетным направлениям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2.1.3 Привлечение внешних специалистов и развитие ключевого персонала вуза, рост качества исследовательского и профессорско-преподавательского состава / Реализация программы предоставления грантов и программ обмена исследователями с ведущими университетами и исследовательскими центрами / Разработка и реализация программ привлечения к работе в КФУ лиц из ведущих университетов и исследовательских центров исследователей- обладающих высокими значениями </w:t>
            </w:r>
            <w:proofErr w:type="spellStart"/>
            <w:r w:rsidRPr="006952C0">
              <w:rPr>
                <w:sz w:val="28"/>
                <w:szCs w:val="28"/>
              </w:rPr>
              <w:t>наукометрических</w:t>
            </w:r>
            <w:proofErr w:type="spellEnd"/>
            <w:r w:rsidRPr="006952C0">
              <w:rPr>
                <w:sz w:val="28"/>
                <w:szCs w:val="28"/>
              </w:rPr>
              <w:t xml:space="preserve"> индексов в </w:t>
            </w:r>
            <w:proofErr w:type="spellStart"/>
            <w:r w:rsidRPr="006952C0">
              <w:rPr>
                <w:sz w:val="28"/>
                <w:szCs w:val="28"/>
              </w:rPr>
              <w:t>сових</w:t>
            </w:r>
            <w:proofErr w:type="spellEnd"/>
            <w:r w:rsidRPr="006952C0">
              <w:rPr>
                <w:sz w:val="28"/>
                <w:szCs w:val="28"/>
              </w:rPr>
              <w:t xml:space="preserve"> предметных областях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lastRenderedPageBreak/>
              <w:t>2.4.2 Привлечение внешних специалистов и развитие ключевого персонала вуза, рост качества исследовательского и профессорско-преподавательского состава / Повышение международной публикационной активности сотрудников КФУ. Продвижение КФУ в рейтинге QS по показателю 'Публикации сотрудников' / Стимулирование публикационной активности сотрудников КФУ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</w:rPr>
              <w:lastRenderedPageBreak/>
              <w:t>01.01.16-30.</w:t>
            </w:r>
            <w:r w:rsidRPr="006952C0">
              <w:rPr>
                <w:sz w:val="28"/>
                <w:szCs w:val="28"/>
                <w:lang w:val="en-US"/>
              </w:rPr>
              <w:t>06</w:t>
            </w:r>
            <w:r w:rsidRPr="006952C0">
              <w:rPr>
                <w:sz w:val="28"/>
                <w:szCs w:val="28"/>
              </w:rPr>
              <w:t>.1</w:t>
            </w:r>
            <w:r w:rsidRPr="006952C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726A" w:rsidRPr="006952C0" w:rsidRDefault="0093726A">
            <w:pPr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>9 100 000,00</w:t>
            </w:r>
          </w:p>
        </w:tc>
      </w:tr>
      <w:tr w:rsidR="0093726A" w:rsidRPr="006952C0" w:rsidTr="00334A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nil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3726A" w:rsidRPr="006952C0" w:rsidRDefault="0093726A" w:rsidP="00BE517E">
            <w:pPr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а) Проводится </w:t>
            </w:r>
            <w:proofErr w:type="spellStart"/>
            <w:r w:rsidRPr="006952C0">
              <w:rPr>
                <w:sz w:val="28"/>
                <w:szCs w:val="28"/>
              </w:rPr>
              <w:t>генотипирование</w:t>
            </w:r>
            <w:proofErr w:type="spellEnd"/>
            <w:r w:rsidRPr="006952C0">
              <w:rPr>
                <w:sz w:val="28"/>
                <w:szCs w:val="28"/>
              </w:rPr>
              <w:t xml:space="preserve"> 10 линий нокаутов </w:t>
            </w:r>
            <w:r w:rsidRPr="006952C0">
              <w:rPr>
                <w:sz w:val="28"/>
                <w:szCs w:val="28"/>
                <w:lang w:val="en-US"/>
              </w:rPr>
              <w:t>A</w:t>
            </w:r>
            <w:r w:rsidRPr="006952C0">
              <w:rPr>
                <w:sz w:val="28"/>
                <w:szCs w:val="28"/>
              </w:rPr>
              <w:t xml:space="preserve">. </w:t>
            </w:r>
            <w:r w:rsidRPr="006952C0">
              <w:rPr>
                <w:sz w:val="28"/>
                <w:szCs w:val="28"/>
                <w:lang w:val="en-US"/>
              </w:rPr>
              <w:t>thaliana</w:t>
            </w:r>
            <w:r w:rsidRPr="006952C0">
              <w:rPr>
                <w:sz w:val="28"/>
                <w:szCs w:val="28"/>
              </w:rPr>
              <w:t xml:space="preserve"> по генам-кандидатам вариации длины хромосом и их аналогов. Проводится описание </w:t>
            </w:r>
            <w:proofErr w:type="spellStart"/>
            <w:r w:rsidRPr="006952C0">
              <w:rPr>
                <w:sz w:val="28"/>
                <w:szCs w:val="28"/>
              </w:rPr>
              <w:t>теломерного</w:t>
            </w:r>
            <w:proofErr w:type="spellEnd"/>
            <w:r w:rsidRPr="006952C0">
              <w:rPr>
                <w:sz w:val="28"/>
                <w:szCs w:val="28"/>
              </w:rPr>
              <w:t xml:space="preserve"> фенотипа нокаутов.</w:t>
            </w:r>
          </w:p>
          <w:p w:rsidR="0093726A" w:rsidRPr="006952C0" w:rsidRDefault="0093726A" w:rsidP="00BE517E">
            <w:pPr>
              <w:rPr>
                <w:sz w:val="28"/>
                <w:szCs w:val="28"/>
              </w:rPr>
            </w:pPr>
          </w:p>
          <w:p w:rsidR="0093726A" w:rsidRPr="006952C0" w:rsidRDefault="0093726A" w:rsidP="00BE517E">
            <w:pPr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Конструируются </w:t>
            </w:r>
            <w:proofErr w:type="spellStart"/>
            <w:r w:rsidRPr="006952C0">
              <w:rPr>
                <w:sz w:val="28"/>
                <w:szCs w:val="28"/>
              </w:rPr>
              <w:t>комплементационные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</w:rPr>
              <w:t>плазмиды</w:t>
            </w:r>
            <w:proofErr w:type="spellEnd"/>
            <w:r w:rsidRPr="006952C0">
              <w:rPr>
                <w:sz w:val="28"/>
                <w:szCs w:val="28"/>
              </w:rPr>
              <w:t xml:space="preserve"> генов </w:t>
            </w:r>
            <w:r w:rsidRPr="006952C0">
              <w:rPr>
                <w:sz w:val="28"/>
                <w:szCs w:val="28"/>
                <w:lang w:val="en-US"/>
              </w:rPr>
              <w:t>TRFL</w:t>
            </w:r>
            <w:r w:rsidRPr="006952C0">
              <w:rPr>
                <w:sz w:val="28"/>
                <w:szCs w:val="28"/>
              </w:rPr>
              <w:t xml:space="preserve">2 и </w:t>
            </w:r>
            <w:r w:rsidRPr="006952C0">
              <w:rPr>
                <w:sz w:val="28"/>
                <w:szCs w:val="28"/>
                <w:lang w:val="en-US"/>
              </w:rPr>
              <w:t>TRFL</w:t>
            </w:r>
            <w:r w:rsidRPr="006952C0">
              <w:rPr>
                <w:sz w:val="28"/>
                <w:szCs w:val="28"/>
              </w:rPr>
              <w:t xml:space="preserve">3 </w:t>
            </w:r>
            <w:proofErr w:type="spellStart"/>
            <w:r w:rsidRPr="006952C0">
              <w:rPr>
                <w:i/>
                <w:sz w:val="28"/>
                <w:szCs w:val="28"/>
                <w:lang w:val="en-US"/>
              </w:rPr>
              <w:t>Physcomitrella</w:t>
            </w:r>
            <w:proofErr w:type="spellEnd"/>
            <w:r w:rsidRPr="006952C0">
              <w:rPr>
                <w:i/>
                <w:sz w:val="28"/>
                <w:szCs w:val="28"/>
              </w:rPr>
              <w:t xml:space="preserve"> </w:t>
            </w:r>
            <w:r w:rsidRPr="006952C0">
              <w:rPr>
                <w:i/>
                <w:sz w:val="28"/>
                <w:szCs w:val="28"/>
                <w:lang w:val="en-US"/>
              </w:rPr>
              <w:t>patens</w:t>
            </w:r>
            <w:r w:rsidRPr="006952C0">
              <w:rPr>
                <w:sz w:val="28"/>
                <w:szCs w:val="28"/>
              </w:rPr>
              <w:t xml:space="preserve">. Проводятся </w:t>
            </w:r>
            <w:proofErr w:type="spellStart"/>
            <w:r w:rsidRPr="006952C0">
              <w:rPr>
                <w:sz w:val="28"/>
                <w:szCs w:val="28"/>
              </w:rPr>
              <w:t>пилотные</w:t>
            </w:r>
            <w:proofErr w:type="spellEnd"/>
            <w:r w:rsidRPr="006952C0">
              <w:rPr>
                <w:sz w:val="28"/>
                <w:szCs w:val="28"/>
              </w:rPr>
              <w:t xml:space="preserve"> эксперименты по совместному культивированию </w:t>
            </w:r>
            <w:proofErr w:type="spellStart"/>
            <w:r w:rsidRPr="006952C0">
              <w:rPr>
                <w:i/>
                <w:sz w:val="28"/>
                <w:szCs w:val="28"/>
                <w:lang w:val="en-US"/>
              </w:rPr>
              <w:t>Physcomitrella</w:t>
            </w:r>
            <w:proofErr w:type="spellEnd"/>
            <w:r w:rsidRPr="006952C0">
              <w:rPr>
                <w:i/>
                <w:sz w:val="28"/>
                <w:szCs w:val="28"/>
              </w:rPr>
              <w:t xml:space="preserve"> </w:t>
            </w:r>
            <w:r w:rsidRPr="006952C0">
              <w:rPr>
                <w:i/>
                <w:sz w:val="28"/>
                <w:szCs w:val="28"/>
                <w:lang w:val="en-US"/>
              </w:rPr>
              <w:t>patens</w:t>
            </w:r>
            <w:r w:rsidRPr="006952C0">
              <w:rPr>
                <w:sz w:val="28"/>
                <w:szCs w:val="28"/>
              </w:rPr>
              <w:t xml:space="preserve"> и клеток животных (МСК мыши, </w:t>
            </w:r>
            <w:proofErr w:type="spellStart"/>
            <w:r w:rsidRPr="006952C0">
              <w:rPr>
                <w:sz w:val="28"/>
                <w:szCs w:val="28"/>
              </w:rPr>
              <w:t>фиброласты</w:t>
            </w:r>
            <w:proofErr w:type="spellEnd"/>
            <w:r w:rsidRPr="006952C0">
              <w:rPr>
                <w:sz w:val="28"/>
                <w:szCs w:val="28"/>
              </w:rPr>
              <w:t xml:space="preserve"> человека).</w:t>
            </w:r>
          </w:p>
          <w:p w:rsidR="0093726A" w:rsidRPr="006952C0" w:rsidRDefault="0093726A" w:rsidP="00BE517E">
            <w:pPr>
              <w:rPr>
                <w:sz w:val="28"/>
                <w:szCs w:val="28"/>
              </w:rPr>
            </w:pPr>
          </w:p>
          <w:p w:rsidR="0093726A" w:rsidRPr="006952C0" w:rsidRDefault="0093726A" w:rsidP="00BE517E">
            <w:pPr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Проводится анализ </w:t>
            </w:r>
            <w:proofErr w:type="spellStart"/>
            <w:r w:rsidRPr="006952C0">
              <w:rPr>
                <w:sz w:val="28"/>
                <w:szCs w:val="28"/>
              </w:rPr>
              <w:t>секретома</w:t>
            </w:r>
            <w:proofErr w:type="spellEnd"/>
            <w:r w:rsidRPr="006952C0">
              <w:rPr>
                <w:sz w:val="28"/>
                <w:szCs w:val="28"/>
              </w:rPr>
              <w:t xml:space="preserve"> экотипов </w:t>
            </w:r>
            <w:r w:rsidRPr="006952C0">
              <w:rPr>
                <w:i/>
                <w:sz w:val="28"/>
                <w:szCs w:val="28"/>
                <w:lang w:val="en-US"/>
              </w:rPr>
              <w:t>Arabidopsis</w:t>
            </w:r>
            <w:r w:rsidRPr="006952C0">
              <w:rPr>
                <w:i/>
                <w:sz w:val="28"/>
                <w:szCs w:val="28"/>
              </w:rPr>
              <w:t xml:space="preserve"> </w:t>
            </w:r>
            <w:r w:rsidRPr="006952C0">
              <w:rPr>
                <w:i/>
                <w:sz w:val="28"/>
                <w:szCs w:val="28"/>
                <w:lang w:val="en-US"/>
              </w:rPr>
              <w:t>thaliana</w:t>
            </w:r>
            <w:r w:rsidRPr="006952C0">
              <w:rPr>
                <w:sz w:val="28"/>
                <w:szCs w:val="28"/>
              </w:rPr>
              <w:t>, выращенных на различных источниках фосфора.</w:t>
            </w:r>
          </w:p>
          <w:p w:rsidR="0093726A" w:rsidRPr="006952C0" w:rsidRDefault="0093726A" w:rsidP="00BE517E">
            <w:pPr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lastRenderedPageBreak/>
              <w:t xml:space="preserve">Проводится анализ физиологии и длины </w:t>
            </w:r>
            <w:proofErr w:type="spellStart"/>
            <w:r w:rsidRPr="006952C0">
              <w:rPr>
                <w:sz w:val="28"/>
                <w:szCs w:val="28"/>
              </w:rPr>
              <w:t>теломер</w:t>
            </w:r>
            <w:proofErr w:type="spellEnd"/>
            <w:r w:rsidRPr="006952C0">
              <w:rPr>
                <w:sz w:val="28"/>
                <w:szCs w:val="28"/>
              </w:rPr>
              <w:t xml:space="preserve"> 19 экотипов </w:t>
            </w:r>
            <w:r w:rsidRPr="006952C0">
              <w:rPr>
                <w:i/>
                <w:sz w:val="28"/>
                <w:szCs w:val="28"/>
                <w:lang w:val="en-US"/>
              </w:rPr>
              <w:t>Arabidopsis</w:t>
            </w:r>
            <w:r w:rsidRPr="006952C0">
              <w:rPr>
                <w:i/>
                <w:sz w:val="28"/>
                <w:szCs w:val="28"/>
              </w:rPr>
              <w:t xml:space="preserve"> </w:t>
            </w:r>
            <w:r w:rsidRPr="006952C0">
              <w:rPr>
                <w:i/>
                <w:sz w:val="28"/>
                <w:szCs w:val="28"/>
                <w:lang w:val="en-US"/>
              </w:rPr>
              <w:t>thaliana</w:t>
            </w:r>
            <w:r w:rsidRPr="006952C0">
              <w:rPr>
                <w:sz w:val="28"/>
                <w:szCs w:val="28"/>
              </w:rPr>
              <w:t xml:space="preserve"> при росте на различных источниках фосфора.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proofErr w:type="spellStart"/>
            <w:r w:rsidRPr="006952C0">
              <w:rPr>
                <w:sz w:val="28"/>
                <w:szCs w:val="28"/>
              </w:rPr>
              <w:t>Cоздание</w:t>
            </w:r>
            <w:proofErr w:type="spellEnd"/>
            <w:r w:rsidRPr="006952C0">
              <w:rPr>
                <w:sz w:val="28"/>
                <w:szCs w:val="28"/>
              </w:rPr>
              <w:t xml:space="preserve"> музея из штаммов бацилл, обладающих антагонистической и </w:t>
            </w:r>
            <w:proofErr w:type="spellStart"/>
            <w:r w:rsidRPr="006952C0">
              <w:rPr>
                <w:sz w:val="28"/>
                <w:szCs w:val="28"/>
              </w:rPr>
              <w:t>фитат-гидролизующей</w:t>
            </w:r>
            <w:proofErr w:type="spellEnd"/>
            <w:r w:rsidRPr="006952C0">
              <w:rPr>
                <w:sz w:val="28"/>
                <w:szCs w:val="28"/>
              </w:rPr>
              <w:t xml:space="preserve"> активностями.</w:t>
            </w: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Отбор штаммов бацилл для использования в качестве основы </w:t>
            </w:r>
            <w:proofErr w:type="spellStart"/>
            <w:r w:rsidRPr="006952C0">
              <w:rPr>
                <w:sz w:val="28"/>
                <w:szCs w:val="28"/>
              </w:rPr>
              <w:t>биопрепаратов-пробиотиков</w:t>
            </w:r>
            <w:proofErr w:type="spellEnd"/>
            <w:r w:rsidRPr="006952C0">
              <w:rPr>
                <w:sz w:val="28"/>
                <w:szCs w:val="28"/>
              </w:rPr>
              <w:t xml:space="preserve"> с выраженной антагонистической и </w:t>
            </w:r>
            <w:proofErr w:type="spellStart"/>
            <w:r w:rsidRPr="006952C0">
              <w:rPr>
                <w:sz w:val="28"/>
                <w:szCs w:val="28"/>
              </w:rPr>
              <w:t>фитат-гидролизующей</w:t>
            </w:r>
            <w:proofErr w:type="spellEnd"/>
            <w:r w:rsidRPr="006952C0">
              <w:rPr>
                <w:sz w:val="28"/>
                <w:szCs w:val="28"/>
              </w:rPr>
              <w:t xml:space="preserve"> активностями. Исследование штаммов бацилл на патогенные свойства: </w:t>
            </w:r>
            <w:proofErr w:type="spellStart"/>
            <w:r w:rsidRPr="006952C0">
              <w:rPr>
                <w:sz w:val="28"/>
                <w:szCs w:val="28"/>
              </w:rPr>
              <w:t>вирулентность,токсичность</w:t>
            </w:r>
            <w:proofErr w:type="spellEnd"/>
            <w:r w:rsidRPr="006952C0">
              <w:rPr>
                <w:sz w:val="28"/>
                <w:szCs w:val="28"/>
              </w:rPr>
              <w:t xml:space="preserve">, </w:t>
            </w:r>
            <w:proofErr w:type="spellStart"/>
            <w:r w:rsidRPr="006952C0">
              <w:rPr>
                <w:sz w:val="28"/>
                <w:szCs w:val="28"/>
              </w:rPr>
              <w:t>токсигенность</w:t>
            </w:r>
            <w:proofErr w:type="spellEnd"/>
            <w:r w:rsidRPr="006952C0">
              <w:rPr>
                <w:sz w:val="28"/>
                <w:szCs w:val="28"/>
              </w:rPr>
              <w:t xml:space="preserve">. Подбор оптимальных условий роста </w:t>
            </w:r>
            <w:proofErr w:type="spellStart"/>
            <w:r w:rsidRPr="006952C0">
              <w:rPr>
                <w:sz w:val="28"/>
                <w:szCs w:val="28"/>
              </w:rPr>
              <w:t>штаммов-изолятов</w:t>
            </w:r>
            <w:proofErr w:type="spellEnd"/>
            <w:r w:rsidRPr="006952C0">
              <w:rPr>
                <w:sz w:val="28"/>
                <w:szCs w:val="28"/>
              </w:rPr>
              <w:t xml:space="preserve"> с </w:t>
            </w:r>
            <w:proofErr w:type="spellStart"/>
            <w:r w:rsidRPr="006952C0">
              <w:rPr>
                <w:sz w:val="28"/>
                <w:szCs w:val="28"/>
              </w:rPr>
              <w:t>пробиотической</w:t>
            </w:r>
            <w:proofErr w:type="spellEnd"/>
            <w:r w:rsidRPr="006952C0">
              <w:rPr>
                <w:sz w:val="28"/>
                <w:szCs w:val="28"/>
              </w:rPr>
              <w:t xml:space="preserve"> активностью .</w:t>
            </w: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Будет разработана система экспрессии для получения бактериальных </w:t>
            </w:r>
            <w:proofErr w:type="spellStart"/>
            <w:r w:rsidRPr="006952C0">
              <w:rPr>
                <w:sz w:val="28"/>
                <w:szCs w:val="28"/>
              </w:rPr>
              <w:t>фитаз</w:t>
            </w:r>
            <w:proofErr w:type="spellEnd"/>
            <w:r w:rsidRPr="006952C0">
              <w:rPr>
                <w:sz w:val="28"/>
                <w:szCs w:val="28"/>
              </w:rPr>
              <w:t xml:space="preserve"> и протеаз на основе интегративных бинарных дрожжевых векторов </w:t>
            </w:r>
            <w:proofErr w:type="spellStart"/>
            <w:r w:rsidRPr="006952C0">
              <w:rPr>
                <w:sz w:val="28"/>
                <w:szCs w:val="28"/>
              </w:rPr>
              <w:t>pPink</w:t>
            </w:r>
            <w:proofErr w:type="spellEnd"/>
            <w:r w:rsidRPr="006952C0">
              <w:rPr>
                <w:sz w:val="28"/>
                <w:szCs w:val="28"/>
              </w:rPr>
              <w:t xml:space="preserve">. Для интеграции в геном дрожжей полученные конструкции будут </w:t>
            </w:r>
            <w:proofErr w:type="spellStart"/>
            <w:r w:rsidRPr="006952C0">
              <w:rPr>
                <w:sz w:val="28"/>
                <w:szCs w:val="28"/>
              </w:rPr>
              <w:t>линеализированы</w:t>
            </w:r>
            <w:proofErr w:type="spellEnd"/>
            <w:r w:rsidRPr="006952C0">
              <w:rPr>
                <w:sz w:val="28"/>
                <w:szCs w:val="28"/>
              </w:rPr>
              <w:t xml:space="preserve"> и трансформированы в </w:t>
            </w:r>
            <w:proofErr w:type="spellStart"/>
            <w:r w:rsidRPr="006952C0">
              <w:rPr>
                <w:sz w:val="28"/>
                <w:szCs w:val="28"/>
              </w:rPr>
              <w:t>беспротеазные</w:t>
            </w:r>
            <w:proofErr w:type="spellEnd"/>
            <w:r w:rsidRPr="006952C0">
              <w:rPr>
                <w:sz w:val="28"/>
                <w:szCs w:val="28"/>
              </w:rPr>
              <w:t xml:space="preserve"> штаммы </w:t>
            </w:r>
            <w:proofErr w:type="spellStart"/>
            <w:r w:rsidRPr="006952C0">
              <w:rPr>
                <w:sz w:val="28"/>
                <w:szCs w:val="28"/>
              </w:rPr>
              <w:t>Pichia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</w:rPr>
              <w:t>pastoris</w:t>
            </w:r>
            <w:proofErr w:type="spellEnd"/>
            <w:r w:rsidRPr="006952C0">
              <w:rPr>
                <w:sz w:val="28"/>
                <w:szCs w:val="28"/>
              </w:rPr>
              <w:t xml:space="preserve">. Будет проведен подбор условий </w:t>
            </w:r>
            <w:proofErr w:type="spellStart"/>
            <w:r w:rsidRPr="006952C0">
              <w:rPr>
                <w:sz w:val="28"/>
                <w:szCs w:val="28"/>
              </w:rPr>
              <w:t>электропорации</w:t>
            </w:r>
            <w:proofErr w:type="spellEnd"/>
            <w:r w:rsidRPr="006952C0">
              <w:rPr>
                <w:sz w:val="28"/>
                <w:szCs w:val="28"/>
              </w:rPr>
              <w:t xml:space="preserve"> для создания стабильных </w:t>
            </w:r>
            <w:proofErr w:type="spellStart"/>
            <w:r w:rsidRPr="006952C0">
              <w:rPr>
                <w:sz w:val="28"/>
                <w:szCs w:val="28"/>
              </w:rPr>
              <w:t>рекомбинантных</w:t>
            </w:r>
            <w:proofErr w:type="spellEnd"/>
            <w:r w:rsidRPr="006952C0">
              <w:rPr>
                <w:sz w:val="28"/>
                <w:szCs w:val="28"/>
              </w:rPr>
              <w:t xml:space="preserve"> штаммов </w:t>
            </w:r>
            <w:proofErr w:type="spellStart"/>
            <w:r w:rsidRPr="006952C0">
              <w:rPr>
                <w:sz w:val="28"/>
                <w:szCs w:val="28"/>
              </w:rPr>
              <w:t>Pichia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</w:rPr>
              <w:t>pastoris</w:t>
            </w:r>
            <w:proofErr w:type="spellEnd"/>
            <w:r w:rsidRPr="006952C0">
              <w:rPr>
                <w:sz w:val="28"/>
                <w:szCs w:val="28"/>
              </w:rPr>
              <w:t xml:space="preserve"> – продуцентов </w:t>
            </w:r>
            <w:proofErr w:type="spellStart"/>
            <w:r w:rsidRPr="006952C0">
              <w:rPr>
                <w:sz w:val="28"/>
                <w:szCs w:val="28"/>
              </w:rPr>
              <w:lastRenderedPageBreak/>
              <w:t>гетерологичных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</w:rPr>
              <w:t>фитаз</w:t>
            </w:r>
            <w:proofErr w:type="spellEnd"/>
            <w:r w:rsidRPr="006952C0">
              <w:rPr>
                <w:sz w:val="28"/>
                <w:szCs w:val="28"/>
              </w:rPr>
              <w:t xml:space="preserve"> и протеаз.</w:t>
            </w: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Оценка экспрессии бактериальных </w:t>
            </w:r>
            <w:proofErr w:type="spellStart"/>
            <w:r w:rsidRPr="006952C0">
              <w:rPr>
                <w:sz w:val="28"/>
                <w:szCs w:val="28"/>
              </w:rPr>
              <w:t>фитаз</w:t>
            </w:r>
            <w:proofErr w:type="spellEnd"/>
            <w:r w:rsidRPr="006952C0">
              <w:rPr>
                <w:sz w:val="28"/>
                <w:szCs w:val="28"/>
              </w:rPr>
              <w:t xml:space="preserve"> в модифицированных растениях с помощью </w:t>
            </w:r>
            <w:proofErr w:type="spellStart"/>
            <w:r w:rsidRPr="006952C0">
              <w:rPr>
                <w:sz w:val="28"/>
                <w:szCs w:val="28"/>
              </w:rPr>
              <w:t>иммуноблоттинга</w:t>
            </w:r>
            <w:proofErr w:type="spellEnd"/>
            <w:r w:rsidRPr="006952C0">
              <w:rPr>
                <w:sz w:val="28"/>
                <w:szCs w:val="28"/>
              </w:rPr>
              <w:t xml:space="preserve">, установление локализации и молекулярной массы </w:t>
            </w:r>
            <w:proofErr w:type="spellStart"/>
            <w:r w:rsidRPr="006952C0">
              <w:rPr>
                <w:sz w:val="28"/>
                <w:szCs w:val="28"/>
              </w:rPr>
              <w:t>рекомбинантных</w:t>
            </w:r>
            <w:proofErr w:type="spellEnd"/>
            <w:r w:rsidRPr="006952C0">
              <w:rPr>
                <w:sz w:val="28"/>
                <w:szCs w:val="28"/>
              </w:rPr>
              <w:t xml:space="preserve"> белков. Оценка потенциала штаммов для профилактики и борьбы с инфекционными болезнями сельскохозяйственных культур в экспериментах с модельными растениями</w:t>
            </w: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Проводятся работы по идентификации естественного субстрата </w:t>
            </w:r>
            <w:proofErr w:type="spellStart"/>
            <w:r w:rsidRPr="006952C0">
              <w:rPr>
                <w:sz w:val="28"/>
                <w:szCs w:val="28"/>
              </w:rPr>
              <w:t>эффлюкс</w:t>
            </w:r>
            <w:proofErr w:type="spellEnd"/>
            <w:r w:rsidRPr="006952C0">
              <w:rPr>
                <w:sz w:val="28"/>
                <w:szCs w:val="28"/>
              </w:rPr>
              <w:t xml:space="preserve"> системы </w:t>
            </w:r>
            <w:proofErr w:type="spellStart"/>
            <w:r w:rsidRPr="006952C0">
              <w:rPr>
                <w:sz w:val="28"/>
                <w:szCs w:val="28"/>
              </w:rPr>
              <w:t>МасАВ</w:t>
            </w:r>
            <w:proofErr w:type="spellEnd"/>
            <w:r w:rsidRPr="006952C0">
              <w:rPr>
                <w:sz w:val="28"/>
                <w:szCs w:val="28"/>
              </w:rPr>
              <w:t xml:space="preserve">, присутствующего в низкомолекулярной (до 10 </w:t>
            </w:r>
            <w:proofErr w:type="spellStart"/>
            <w:r w:rsidRPr="006952C0">
              <w:rPr>
                <w:sz w:val="28"/>
                <w:szCs w:val="28"/>
              </w:rPr>
              <w:t>кДа</w:t>
            </w:r>
            <w:proofErr w:type="spellEnd"/>
            <w:r w:rsidRPr="006952C0">
              <w:rPr>
                <w:sz w:val="28"/>
                <w:szCs w:val="28"/>
              </w:rPr>
              <w:t xml:space="preserve">) фракции </w:t>
            </w:r>
            <w:proofErr w:type="spellStart"/>
            <w:r w:rsidRPr="006952C0">
              <w:rPr>
                <w:sz w:val="28"/>
                <w:szCs w:val="28"/>
              </w:rPr>
              <w:t>культуральной</w:t>
            </w:r>
            <w:proofErr w:type="spellEnd"/>
            <w:r w:rsidRPr="006952C0">
              <w:rPr>
                <w:sz w:val="28"/>
                <w:szCs w:val="28"/>
              </w:rPr>
              <w:t xml:space="preserve"> жидкости и идентифицированы кандидаты на роль этого субстрата.</w:t>
            </w:r>
          </w:p>
          <w:p w:rsidR="0093726A" w:rsidRPr="006952C0" w:rsidRDefault="0093726A" w:rsidP="00395BA2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Проводятся работы по систематической </w:t>
            </w:r>
            <w:proofErr w:type="spellStart"/>
            <w:r w:rsidRPr="006952C0">
              <w:rPr>
                <w:sz w:val="28"/>
                <w:szCs w:val="28"/>
              </w:rPr>
              <w:t>инактивации</w:t>
            </w:r>
            <w:proofErr w:type="spellEnd"/>
            <w:r w:rsidRPr="006952C0">
              <w:rPr>
                <w:sz w:val="28"/>
                <w:szCs w:val="28"/>
              </w:rPr>
              <w:t xml:space="preserve"> генов </w:t>
            </w:r>
            <w:proofErr w:type="spellStart"/>
            <w:r w:rsidRPr="006952C0">
              <w:rPr>
                <w:sz w:val="28"/>
                <w:szCs w:val="28"/>
              </w:rPr>
              <w:t>синтетаз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</w:rPr>
              <w:t>сидерофоров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</w:rPr>
              <w:t xml:space="preserve"> с целью идентификации генных кластеров, вовлеченных в синтез отдельных </w:t>
            </w:r>
            <w:proofErr w:type="spellStart"/>
            <w:r w:rsidRPr="006952C0">
              <w:rPr>
                <w:sz w:val="28"/>
                <w:szCs w:val="28"/>
              </w:rPr>
              <w:t>сидерофоров</w:t>
            </w:r>
            <w:proofErr w:type="spellEnd"/>
            <w:r w:rsidRPr="006952C0">
              <w:rPr>
                <w:sz w:val="28"/>
                <w:szCs w:val="28"/>
              </w:rPr>
              <w:t xml:space="preserve">, а также с целью поиска </w:t>
            </w:r>
            <w:proofErr w:type="spellStart"/>
            <w:r w:rsidRPr="006952C0">
              <w:rPr>
                <w:sz w:val="28"/>
                <w:szCs w:val="28"/>
              </w:rPr>
              <w:t>сидерофоров</w:t>
            </w:r>
            <w:proofErr w:type="spellEnd"/>
            <w:r w:rsidRPr="006952C0">
              <w:rPr>
                <w:sz w:val="28"/>
                <w:szCs w:val="28"/>
              </w:rPr>
              <w:t xml:space="preserve">, вовлеченных в защиту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</w:rPr>
              <w:t xml:space="preserve"> от </w:t>
            </w:r>
            <w:proofErr w:type="spellStart"/>
            <w:r w:rsidRPr="006952C0">
              <w:rPr>
                <w:sz w:val="28"/>
                <w:szCs w:val="28"/>
              </w:rPr>
              <w:t>оксидативного</w:t>
            </w:r>
            <w:proofErr w:type="spellEnd"/>
            <w:r w:rsidRPr="006952C0">
              <w:rPr>
                <w:sz w:val="28"/>
                <w:szCs w:val="28"/>
              </w:rPr>
              <w:t xml:space="preserve"> стресса. Планируется детальный анализ выделенных </w:t>
            </w:r>
            <w:proofErr w:type="spellStart"/>
            <w:r w:rsidRPr="006952C0">
              <w:rPr>
                <w:sz w:val="28"/>
                <w:szCs w:val="28"/>
              </w:rPr>
              <w:t>сидерофоров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</w:rPr>
              <w:t xml:space="preserve"> в результате совестных исследований с коллегами из </w:t>
            </w:r>
            <w:r w:rsidRPr="006952C0">
              <w:rPr>
                <w:sz w:val="28"/>
                <w:szCs w:val="28"/>
              </w:rPr>
              <w:lastRenderedPageBreak/>
              <w:t xml:space="preserve">университета города </w:t>
            </w:r>
            <w:r w:rsidRPr="006952C0">
              <w:rPr>
                <w:sz w:val="28"/>
                <w:szCs w:val="28"/>
                <w:lang w:val="en-US"/>
              </w:rPr>
              <w:t>Warwick</w:t>
            </w:r>
            <w:r w:rsidRPr="006952C0">
              <w:rPr>
                <w:sz w:val="28"/>
                <w:szCs w:val="28"/>
              </w:rPr>
              <w:t xml:space="preserve"> (Великобритания)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б) Стажировка И. </w:t>
            </w:r>
            <w:proofErr w:type="spellStart"/>
            <w:r w:rsidRPr="006952C0">
              <w:rPr>
                <w:sz w:val="28"/>
                <w:szCs w:val="28"/>
              </w:rPr>
              <w:t>Хиляс</w:t>
            </w:r>
            <w:proofErr w:type="spellEnd"/>
            <w:r w:rsidRPr="006952C0">
              <w:rPr>
                <w:sz w:val="28"/>
                <w:szCs w:val="28"/>
              </w:rPr>
              <w:t xml:space="preserve"> в университете города </w:t>
            </w:r>
            <w:r w:rsidRPr="006952C0">
              <w:rPr>
                <w:sz w:val="28"/>
                <w:szCs w:val="28"/>
                <w:lang w:val="en-US"/>
              </w:rPr>
              <w:t>Warwick</w:t>
            </w:r>
            <w:r w:rsidRPr="006952C0">
              <w:rPr>
                <w:sz w:val="28"/>
                <w:szCs w:val="28"/>
              </w:rPr>
              <w:t xml:space="preserve"> (Великобритания).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в) Планируются к публикации статьи: </w:t>
            </w:r>
          </w:p>
          <w:p w:rsidR="0093726A" w:rsidRPr="006952C0" w:rsidRDefault="0093726A" w:rsidP="006C4874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  <w:lang w:val="en-US"/>
              </w:rPr>
              <w:t>Lovell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J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T</w:t>
            </w:r>
            <w:r w:rsidRPr="006952C0">
              <w:rPr>
                <w:sz w:val="28"/>
                <w:szCs w:val="28"/>
              </w:rPr>
              <w:t xml:space="preserve">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Shakirov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E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V</w:t>
            </w:r>
            <w:r w:rsidRPr="006952C0">
              <w:rPr>
                <w:sz w:val="28"/>
                <w:szCs w:val="28"/>
              </w:rPr>
              <w:t xml:space="preserve">., </w:t>
            </w:r>
            <w:r w:rsidRPr="006952C0">
              <w:rPr>
                <w:sz w:val="28"/>
                <w:szCs w:val="28"/>
                <w:lang w:val="en-US"/>
              </w:rPr>
              <w:t>Schwartz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S</w:t>
            </w:r>
            <w:r w:rsidRPr="006952C0">
              <w:rPr>
                <w:sz w:val="28"/>
                <w:szCs w:val="28"/>
              </w:rPr>
              <w:t xml:space="preserve">., </w:t>
            </w:r>
            <w:r w:rsidRPr="006952C0">
              <w:rPr>
                <w:sz w:val="28"/>
                <w:szCs w:val="28"/>
                <w:lang w:val="en-US"/>
              </w:rPr>
              <w:t>Lowry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D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B</w:t>
            </w:r>
            <w:r w:rsidRPr="006952C0">
              <w:rPr>
                <w:sz w:val="28"/>
                <w:szCs w:val="28"/>
              </w:rPr>
              <w:t xml:space="preserve">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Aspinwall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M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J</w:t>
            </w:r>
            <w:r w:rsidRPr="006952C0">
              <w:rPr>
                <w:sz w:val="28"/>
                <w:szCs w:val="28"/>
              </w:rPr>
              <w:t xml:space="preserve">., </w:t>
            </w:r>
            <w:r w:rsidRPr="006952C0">
              <w:rPr>
                <w:sz w:val="28"/>
                <w:szCs w:val="28"/>
                <w:lang w:val="en-US"/>
              </w:rPr>
              <w:t>Taylor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S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H</w:t>
            </w:r>
            <w:r w:rsidRPr="006952C0">
              <w:rPr>
                <w:sz w:val="28"/>
                <w:szCs w:val="28"/>
              </w:rPr>
              <w:t xml:space="preserve">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Bonnette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J</w:t>
            </w:r>
            <w:r w:rsidRPr="006952C0">
              <w:rPr>
                <w:sz w:val="28"/>
                <w:szCs w:val="28"/>
              </w:rPr>
              <w:t xml:space="preserve">., </w:t>
            </w:r>
            <w:r w:rsidRPr="006952C0">
              <w:rPr>
                <w:sz w:val="28"/>
                <w:szCs w:val="28"/>
                <w:lang w:val="en-US"/>
              </w:rPr>
              <w:t>Palacio</w:t>
            </w:r>
            <w:r w:rsidRPr="006952C0">
              <w:rPr>
                <w:sz w:val="28"/>
                <w:szCs w:val="28"/>
              </w:rPr>
              <w:t>-</w:t>
            </w:r>
            <w:r w:rsidRPr="006952C0">
              <w:rPr>
                <w:sz w:val="28"/>
                <w:szCs w:val="28"/>
                <w:lang w:val="en-US"/>
              </w:rPr>
              <w:t>Mejia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J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D</w:t>
            </w:r>
            <w:r w:rsidRPr="006952C0">
              <w:rPr>
                <w:sz w:val="28"/>
                <w:szCs w:val="28"/>
              </w:rPr>
              <w:t xml:space="preserve">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Hawkes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C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V</w:t>
            </w:r>
            <w:r w:rsidRPr="006952C0">
              <w:rPr>
                <w:sz w:val="28"/>
                <w:szCs w:val="28"/>
              </w:rPr>
              <w:t xml:space="preserve">., </w:t>
            </w:r>
            <w:r w:rsidRPr="006952C0">
              <w:rPr>
                <w:sz w:val="28"/>
                <w:szCs w:val="28"/>
                <w:lang w:val="en-US"/>
              </w:rPr>
              <w:t>Fay</w:t>
            </w:r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P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A</w:t>
            </w:r>
            <w:r w:rsidRPr="006952C0">
              <w:rPr>
                <w:sz w:val="28"/>
                <w:szCs w:val="28"/>
              </w:rPr>
              <w:t xml:space="preserve">.,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Juenger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  <w:lang w:val="en-US"/>
              </w:rPr>
              <w:t>T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E</w:t>
            </w:r>
            <w:r w:rsidRPr="006952C0">
              <w:rPr>
                <w:sz w:val="28"/>
                <w:szCs w:val="28"/>
              </w:rPr>
              <w:t xml:space="preserve">. </w:t>
            </w:r>
          </w:p>
          <w:p w:rsidR="0093726A" w:rsidRPr="006952C0" w:rsidRDefault="0093726A" w:rsidP="006C4874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Promises and challenges of eco-physiological genomics in the field: tests of drought responses in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switchgrass</w:t>
            </w:r>
            <w:proofErr w:type="spellEnd"/>
          </w:p>
          <w:p w:rsidR="0093726A" w:rsidRPr="006952C0" w:rsidRDefault="0093726A" w:rsidP="006C4874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>Plant Physiol. 2016 doi:10.1104/pp.16.00545 (IF=6,841)</w:t>
            </w:r>
          </w:p>
          <w:p w:rsidR="0093726A" w:rsidRPr="006952C0" w:rsidRDefault="0093726A" w:rsidP="006C487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3726A" w:rsidRPr="006952C0" w:rsidRDefault="0093726A" w:rsidP="00BE517E">
            <w:pPr>
              <w:spacing w:after="200" w:line="276" w:lineRule="auto"/>
              <w:ind w:left="21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"Selection of efficient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Taq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DNA polymerase to optimize T-DNA genotyping method for rapid detection of mutant Arabidopsis thaliana plants".  Inna B.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Chastukhina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Liliya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Nigmatullina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Lia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Valeeva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Eugene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Shakirov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BioNano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Science</w:t>
            </w:r>
          </w:p>
          <w:p w:rsidR="0093726A" w:rsidRPr="006952C0" w:rsidRDefault="0093726A" w:rsidP="00BE517E">
            <w:pPr>
              <w:spacing w:after="200" w:line="276" w:lineRule="auto"/>
              <w:ind w:left="21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"Cloning and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heterologous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 expression of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phytase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 gene from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Pantoea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 sp. 3.5.1"</w:t>
            </w:r>
            <w:r w:rsidRPr="006952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Aliya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Suleimanova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, Ph.D.; Inna B.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Chastukhina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Liia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R.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Valeeva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Darja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 L.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Itkina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 xml:space="preserve">; Margarita R. </w:t>
            </w:r>
            <w:proofErr w:type="spellStart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Sharipova</w:t>
            </w:r>
            <w:proofErr w:type="spellEnd"/>
            <w:r w:rsidRPr="006952C0"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93726A" w:rsidRPr="006952C0" w:rsidRDefault="0093726A" w:rsidP="00212E8C">
            <w:pPr>
              <w:spacing w:after="200" w:line="276" w:lineRule="auto"/>
              <w:ind w:left="21"/>
              <w:rPr>
                <w:sz w:val="28"/>
                <w:szCs w:val="28"/>
                <w:lang w:val="en-US"/>
              </w:rPr>
            </w:pPr>
            <w:proofErr w:type="spellStart"/>
            <w:r w:rsidRPr="006952C0">
              <w:rPr>
                <w:sz w:val="28"/>
                <w:szCs w:val="28"/>
                <w:lang w:val="en-US"/>
              </w:rPr>
              <w:t>Minnullina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L.F. The hemolytic properties of clinical isolates of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Morganella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morganii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/ L.F.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Minnullina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M.H. Al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Allak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S.Y.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Khaitlina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M.R.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Sharipova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A.M.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Mardanova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// Res. J. Pharm. Biol. Chem. Sci. - V. 7. - 2016.</w:t>
            </w:r>
          </w:p>
          <w:p w:rsidR="0093726A" w:rsidRPr="006952C0" w:rsidRDefault="0093726A" w:rsidP="00212E8C">
            <w:pPr>
              <w:spacing w:after="200" w:line="276" w:lineRule="auto"/>
              <w:ind w:left="21"/>
              <w:rPr>
                <w:sz w:val="28"/>
                <w:szCs w:val="28"/>
                <w:lang w:val="en-US"/>
              </w:rPr>
            </w:pPr>
            <w:proofErr w:type="spellStart"/>
            <w:r w:rsidRPr="006952C0">
              <w:rPr>
                <w:sz w:val="28"/>
                <w:szCs w:val="28"/>
                <w:lang w:val="en-US"/>
              </w:rPr>
              <w:t>Khamaletdinova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. Inactivation of chromosomal genes in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/ E. K.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Nizamutdinova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T.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Shirshikova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I. M.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Skipina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L. M.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Bogomolnaya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BioNanoScience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2016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Non-radioactive TRF assay modifications to improve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telomeric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DNA detection efficiency in plants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Liliia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Nigmatullina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, Margarita 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Sharipova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, Eugene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Shakirov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BioNanoScience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>.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3726A" w:rsidRPr="006952C0" w:rsidRDefault="0093726A" w:rsidP="000B2E30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Lilia E.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Matrosova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Irina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Khilyas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Tatiana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Shirshikova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Lydia M.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Bogomolnaya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. Virulence of pigmented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strain SM6 and its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nalidixic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acid-resistant derivative in white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outbred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mice. 2016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BioNanoScience</w:t>
            </w:r>
            <w:proofErr w:type="spellEnd"/>
          </w:p>
          <w:p w:rsidR="0093726A" w:rsidRPr="006952C0" w:rsidRDefault="0093726A" w:rsidP="000B2E3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3726A" w:rsidRPr="006952C0" w:rsidRDefault="0093726A" w:rsidP="000B2E30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lastRenderedPageBreak/>
              <w:t xml:space="preserve">Tatiana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Shirshikova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*, Olga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Morozova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*,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Leisan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Kh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Kamaletdinova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Margarita 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Sharipova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Lydia M.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Bogomolnaya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Generalized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bacteriophage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transduction in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marcescens.2016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BioNanoScience</w:t>
            </w:r>
            <w:proofErr w:type="spellEnd"/>
          </w:p>
          <w:p w:rsidR="0093726A" w:rsidRPr="006952C0" w:rsidRDefault="0093726A" w:rsidP="000B2E3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3726A" w:rsidRPr="006952C0" w:rsidRDefault="0093726A" w:rsidP="000B2E30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Irina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Khilyas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Tatiana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Shirshikova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Lilia E.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Matrosova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Yulia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V. Danilova, Margarita 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Sharipova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Lydia M.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Bogomolnaya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Production of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siderophores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by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and the role of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MacAB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efflux pump in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siderophores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secretion. 2016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BioNanoScience</w:t>
            </w:r>
            <w:proofErr w:type="spellEnd"/>
          </w:p>
          <w:p w:rsidR="0093726A" w:rsidRPr="006952C0" w:rsidRDefault="0093726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3726A" w:rsidRPr="006952C0" w:rsidRDefault="0093726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952C0">
              <w:rPr>
                <w:sz w:val="28"/>
                <w:szCs w:val="28"/>
                <w:lang w:val="en-US"/>
              </w:rPr>
              <w:t>Lan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Thi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Din, N.L.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Rudakova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M.R.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Sharipova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EFFECT OF CULTIVATION CONDITIONS ON BIOFILM FORMATION OF BACILLUS SUBTILIS. 2016 RESEARCH JOURNAL OF PHARMACEUTICAL, BIOLOGICAL AND CHEMICAL SCIENCES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3726A" w:rsidRPr="006952C0" w:rsidRDefault="0093726A" w:rsidP="0015372E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>HETEROLOGOUS EXPRESSION OF PANTOEA AGGLOMERANS PHYTASE GENE OPTIMIZED FOR PLANT-HOST EXPRESSION</w:t>
            </w:r>
          </w:p>
          <w:p w:rsidR="0093726A" w:rsidRPr="006952C0" w:rsidRDefault="0093726A" w:rsidP="0015372E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N.N.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Khabipova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L. 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Valeeva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I.B.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Chastukhina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M. 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Sharipova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E.V.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Shakirov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>. 2016 International journal of Advanced biotechnology and Research</w:t>
            </w:r>
          </w:p>
          <w:p w:rsidR="0093726A" w:rsidRPr="006952C0" w:rsidRDefault="0093726A" w:rsidP="0015372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3726A" w:rsidRPr="006952C0" w:rsidRDefault="0093726A" w:rsidP="0015372E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Arabidopsis thaliana ecotypes vary in their ability to utilize organic P substrates. L.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Nigmatullina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, I.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Chastukhina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, M.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Sharipova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, E.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Shakirov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>. 2016 FEBS J.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3726A" w:rsidRPr="006952C0" w:rsidRDefault="0093726A">
            <w:pPr>
              <w:jc w:val="both"/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Expression of bacterial </w:t>
            </w:r>
            <w:proofErr w:type="spellStart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phytase</w:t>
            </w:r>
            <w:proofErr w:type="spellEnd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in Arabidopsis thaliana plants. </w:t>
            </w:r>
            <w:proofErr w:type="spellStart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Liia</w:t>
            </w:r>
            <w:proofErr w:type="spellEnd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R. </w:t>
            </w:r>
            <w:proofErr w:type="spellStart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Valeeva</w:t>
            </w:r>
            <w:proofErr w:type="spellEnd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Nyamsuren</w:t>
            </w:r>
            <w:proofErr w:type="spellEnd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Chuluunceceg</w:t>
            </w:r>
            <w:proofErr w:type="spellEnd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Margarita R. </w:t>
            </w:r>
            <w:proofErr w:type="spellStart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Sharipova</w:t>
            </w:r>
            <w:proofErr w:type="spellEnd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Eugene V. </w:t>
            </w:r>
            <w:proofErr w:type="spellStart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Shakirov</w:t>
            </w:r>
            <w:proofErr w:type="spellEnd"/>
            <w:r w:rsidRPr="006952C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2016 FEBS J.</w:t>
            </w:r>
          </w:p>
          <w:p w:rsidR="0093726A" w:rsidRPr="006952C0" w:rsidRDefault="0093726A">
            <w:pPr>
              <w:jc w:val="both"/>
              <w:rPr>
                <w:color w:val="222222"/>
                <w:sz w:val="17"/>
                <w:szCs w:val="17"/>
                <w:shd w:val="clear" w:color="auto" w:fill="FFFFFF"/>
                <w:lang w:val="en-US"/>
              </w:rPr>
            </w:pPr>
          </w:p>
          <w:p w:rsidR="0093726A" w:rsidRPr="006952C0" w:rsidRDefault="0093726A" w:rsidP="00334A51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Irina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Khilyas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Tatyana 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Shirshikova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Liliya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E.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Matrosova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Yulia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V. Danilova, Margarita 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Sharipova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Lydia M.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Bogomolnaya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Genomic comparison of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siderophore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diversity in clinical and environmental isolates of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>. 2016 FEBS J.</w:t>
            </w:r>
          </w:p>
          <w:p w:rsidR="0093726A" w:rsidRPr="006952C0" w:rsidRDefault="0093726A" w:rsidP="00334A5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3726A" w:rsidRPr="006952C0" w:rsidRDefault="0093726A" w:rsidP="00334A51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  <w:lang w:val="en-US"/>
              </w:rPr>
              <w:t xml:space="preserve">T.V.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Shirshikova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L.E.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Matrosova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O.V.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Morozova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I.V.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Khilyas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M.R.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Sharipova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, L.M.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Bogomolnaya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The role of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MacAB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efflux pump in protection of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Serratia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52C0">
              <w:rPr>
                <w:sz w:val="28"/>
                <w:szCs w:val="28"/>
                <w:lang w:val="en-US"/>
              </w:rPr>
              <w:t>marcescens</w:t>
            </w:r>
            <w:proofErr w:type="spellEnd"/>
            <w:r w:rsidRPr="006952C0">
              <w:rPr>
                <w:sz w:val="28"/>
                <w:szCs w:val="28"/>
                <w:lang w:val="en-US"/>
              </w:rPr>
              <w:t xml:space="preserve"> against antibiotics and oxidative stress. 2016 FEBS J.</w:t>
            </w:r>
          </w:p>
          <w:p w:rsidR="0093726A" w:rsidRPr="006952C0" w:rsidRDefault="0093726A" w:rsidP="00334A5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3726A" w:rsidRPr="006952C0" w:rsidRDefault="0093726A" w:rsidP="00334A51">
            <w:pPr>
              <w:jc w:val="both"/>
              <w:rPr>
                <w:sz w:val="28"/>
                <w:szCs w:val="28"/>
                <w:lang w:val="en-US"/>
              </w:rPr>
            </w:pPr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A.M. </w:t>
            </w:r>
            <w:proofErr w:type="spellStart"/>
            <w:r w:rsidRPr="006952C0">
              <w:rPr>
                <w:color w:val="000000"/>
                <w:sz w:val="27"/>
                <w:szCs w:val="27"/>
                <w:lang w:val="en-US"/>
              </w:rPr>
              <w:t>Mardanova</w:t>
            </w:r>
            <w:proofErr w:type="spellEnd"/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, G.F. </w:t>
            </w:r>
            <w:proofErr w:type="spellStart"/>
            <w:r w:rsidRPr="006952C0">
              <w:rPr>
                <w:color w:val="000000"/>
                <w:sz w:val="27"/>
                <w:szCs w:val="27"/>
                <w:lang w:val="en-US"/>
              </w:rPr>
              <w:t>Hadieva</w:t>
            </w:r>
            <w:proofErr w:type="spellEnd"/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, M.T. </w:t>
            </w:r>
            <w:proofErr w:type="spellStart"/>
            <w:r w:rsidRPr="006952C0">
              <w:rPr>
                <w:color w:val="000000"/>
                <w:sz w:val="27"/>
                <w:szCs w:val="27"/>
                <w:lang w:val="en-US"/>
              </w:rPr>
              <w:t>Lutfullin</w:t>
            </w:r>
            <w:proofErr w:type="spellEnd"/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, L.F. </w:t>
            </w:r>
            <w:proofErr w:type="spellStart"/>
            <w:r w:rsidRPr="006952C0">
              <w:rPr>
                <w:color w:val="000000"/>
                <w:sz w:val="27"/>
                <w:szCs w:val="27"/>
                <w:lang w:val="en-US"/>
              </w:rPr>
              <w:t>Minnullina</w:t>
            </w:r>
            <w:proofErr w:type="spellEnd"/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, A.G. </w:t>
            </w:r>
            <w:proofErr w:type="spellStart"/>
            <w:r w:rsidRPr="006952C0">
              <w:rPr>
                <w:color w:val="000000"/>
                <w:sz w:val="27"/>
                <w:szCs w:val="27"/>
                <w:lang w:val="en-US"/>
              </w:rPr>
              <w:t>Gilaseva</w:t>
            </w:r>
            <w:proofErr w:type="spellEnd"/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, I.V. </w:t>
            </w:r>
            <w:proofErr w:type="spellStart"/>
            <w:r w:rsidRPr="006952C0">
              <w:rPr>
                <w:color w:val="000000"/>
                <w:sz w:val="27"/>
                <w:szCs w:val="27"/>
                <w:lang w:val="en-US"/>
              </w:rPr>
              <w:t>Khilyas</w:t>
            </w:r>
            <w:proofErr w:type="spellEnd"/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, L.M. </w:t>
            </w:r>
            <w:proofErr w:type="spellStart"/>
            <w:r w:rsidRPr="006952C0">
              <w:rPr>
                <w:color w:val="000000"/>
                <w:sz w:val="27"/>
                <w:szCs w:val="27"/>
                <w:lang w:val="en-US"/>
              </w:rPr>
              <w:t>Bogomolnaya</w:t>
            </w:r>
            <w:proofErr w:type="spellEnd"/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 and M.R. </w:t>
            </w:r>
            <w:proofErr w:type="spellStart"/>
            <w:r w:rsidRPr="006952C0">
              <w:rPr>
                <w:color w:val="000000"/>
                <w:sz w:val="27"/>
                <w:szCs w:val="27"/>
                <w:lang w:val="en-US"/>
              </w:rPr>
              <w:t>Sharipova</w:t>
            </w:r>
            <w:proofErr w:type="spellEnd"/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 Bacillus </w:t>
            </w:r>
            <w:proofErr w:type="spellStart"/>
            <w:r w:rsidRPr="006952C0">
              <w:rPr>
                <w:color w:val="000000"/>
                <w:sz w:val="27"/>
                <w:szCs w:val="27"/>
                <w:lang w:val="en-US"/>
              </w:rPr>
              <w:t>subtilis</w:t>
            </w:r>
            <w:proofErr w:type="spellEnd"/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 strains with antifungal activity against the </w:t>
            </w:r>
            <w:proofErr w:type="spellStart"/>
            <w:r w:rsidRPr="006952C0">
              <w:rPr>
                <w:color w:val="000000"/>
                <w:sz w:val="27"/>
                <w:szCs w:val="27"/>
                <w:lang w:val="en-US"/>
              </w:rPr>
              <w:t>phytopathogenic</w:t>
            </w:r>
            <w:proofErr w:type="spellEnd"/>
            <w:r w:rsidRPr="006952C0">
              <w:rPr>
                <w:color w:val="000000"/>
                <w:sz w:val="27"/>
                <w:szCs w:val="27"/>
                <w:lang w:val="en-US"/>
              </w:rPr>
              <w:t xml:space="preserve"> fungi. 2016. Journal of applied </w:t>
            </w:r>
            <w:r w:rsidRPr="006952C0">
              <w:rPr>
                <w:color w:val="000000"/>
                <w:sz w:val="27"/>
                <w:szCs w:val="27"/>
                <w:lang w:val="en-US"/>
              </w:rPr>
              <w:lastRenderedPageBreak/>
              <w:t>microbiology.</w:t>
            </w:r>
            <w:bookmarkStart w:id="0" w:name="_GoBack"/>
            <w:bookmarkEnd w:id="0"/>
          </w:p>
          <w:p w:rsidR="0093726A" w:rsidRPr="006952C0" w:rsidRDefault="0093726A" w:rsidP="00334A5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lastRenderedPageBreak/>
              <w:t xml:space="preserve">2.1.3 Привлечение внешних специалистов и развитие ключевого персонала вуза, рост качества исследовательского и профессорско-преподавательского состава / Реализация программы предоставления грантов и программ обмена исследователями с ведущими университетами и исследовательскими центрами / Разработка и реализация программ привлечения к работе в КФУ лиц из ведущих университетов и исследовательских центров исследователей- обладающих высокими значениями </w:t>
            </w:r>
            <w:proofErr w:type="spellStart"/>
            <w:r w:rsidRPr="006952C0">
              <w:rPr>
                <w:sz w:val="28"/>
                <w:szCs w:val="28"/>
              </w:rPr>
              <w:t>наукометрических</w:t>
            </w:r>
            <w:proofErr w:type="spellEnd"/>
            <w:r w:rsidRPr="006952C0">
              <w:rPr>
                <w:sz w:val="28"/>
                <w:szCs w:val="28"/>
              </w:rPr>
              <w:t xml:space="preserve"> индексов в </w:t>
            </w:r>
            <w:proofErr w:type="spellStart"/>
            <w:r w:rsidRPr="006952C0">
              <w:rPr>
                <w:sz w:val="28"/>
                <w:szCs w:val="28"/>
              </w:rPr>
              <w:t>сових</w:t>
            </w:r>
            <w:proofErr w:type="spellEnd"/>
            <w:r w:rsidRPr="006952C0">
              <w:rPr>
                <w:sz w:val="28"/>
                <w:szCs w:val="28"/>
              </w:rPr>
              <w:t xml:space="preserve"> предметных областях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2.3.4 Привлечение внешних специалистов и развитие ключевого персонала вуза, рост </w:t>
            </w:r>
            <w:r w:rsidRPr="006952C0">
              <w:rPr>
                <w:sz w:val="28"/>
                <w:szCs w:val="28"/>
              </w:rPr>
              <w:lastRenderedPageBreak/>
              <w:t xml:space="preserve">качества исследовательского и профессорско-преподавательского состава / Участие в международных, российских, региональных и собственных программах академической мобильности / Модернизация программ повышения квалификации НПР КФУ, организация стажировок в ведущих исследовательских центрах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4.2.2 Развитие прорывных направлений исследований и разработок, отказ от неэффективных направлений деятельности / Создание исследовательских центров (лабораторий) для выдающихся ученых мирового уровня на базе ведущих институтов КФУ / Создание в КФУ новых и совместных научных лабораторий и НОЦ учеными - научными лидерами по приоритетным направлениям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2.1.1 Привлечение внешних специалистов и развитие ключевого персонала вуза, рост качества исследовательского и профессорско-преподавательского состава / Реализация программы предоставления грантов и программ обмена исследователями с ведущими университетами и исследовательскими центрами / Реализация </w:t>
            </w:r>
            <w:proofErr w:type="spellStart"/>
            <w:r w:rsidRPr="006952C0">
              <w:rPr>
                <w:sz w:val="28"/>
                <w:szCs w:val="28"/>
              </w:rPr>
              <w:t>грантовой</w:t>
            </w:r>
            <w:proofErr w:type="spellEnd"/>
            <w:r w:rsidRPr="006952C0">
              <w:rPr>
                <w:sz w:val="28"/>
                <w:szCs w:val="28"/>
              </w:rPr>
              <w:t xml:space="preserve"> </w:t>
            </w:r>
            <w:r w:rsidRPr="006952C0">
              <w:rPr>
                <w:sz w:val="28"/>
                <w:szCs w:val="28"/>
              </w:rPr>
              <w:lastRenderedPageBreak/>
              <w:t xml:space="preserve">программы привлечения </w:t>
            </w:r>
            <w:proofErr w:type="spellStart"/>
            <w:r w:rsidRPr="006952C0">
              <w:rPr>
                <w:sz w:val="28"/>
                <w:szCs w:val="28"/>
              </w:rPr>
              <w:t>пост-доков</w:t>
            </w:r>
            <w:proofErr w:type="spellEnd"/>
            <w:r w:rsidRPr="006952C0">
              <w:rPr>
                <w:sz w:val="28"/>
                <w:szCs w:val="28"/>
              </w:rPr>
              <w:t xml:space="preserve"> на конкурсной основе из российских и зарубежных университетов и научных организаций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2.2.2 Привлечение внешних специалистов и развитие ключевого персонала вуза, рост качества исследовательского и профессорско-преподавательского состава / Реализация </w:t>
            </w:r>
            <w:proofErr w:type="spellStart"/>
            <w:r w:rsidRPr="006952C0">
              <w:rPr>
                <w:sz w:val="28"/>
                <w:szCs w:val="28"/>
              </w:rPr>
              <w:t>грантовой</w:t>
            </w:r>
            <w:proofErr w:type="spellEnd"/>
            <w:r w:rsidRPr="006952C0">
              <w:rPr>
                <w:sz w:val="28"/>
                <w:szCs w:val="28"/>
              </w:rPr>
              <w:t xml:space="preserve"> программы привлечения талантливых молодых исследователей России и мира / Программа грантов для молодых исследователей на конкурсной основе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2.1.2 Привлечение внешних специалистов и развитие ключевого персонала вуза, рост качества исследовательского и профессорско-преподавательского состава / Реализация программы предоставления грантов и программ обмена исследователями с ведущими университетами и исследовательскими центрами / Создание системы внутренних </w:t>
            </w:r>
            <w:proofErr w:type="spellStart"/>
            <w:r w:rsidRPr="006952C0">
              <w:rPr>
                <w:sz w:val="28"/>
                <w:szCs w:val="28"/>
              </w:rPr>
              <w:t>пост-доковских</w:t>
            </w:r>
            <w:proofErr w:type="spellEnd"/>
            <w:r w:rsidRPr="006952C0">
              <w:rPr>
                <w:sz w:val="28"/>
                <w:szCs w:val="28"/>
              </w:rPr>
              <w:t xml:space="preserve"> позиций в КФУ </w:t>
            </w:r>
          </w:p>
          <w:p w:rsidR="0093726A" w:rsidRPr="006952C0" w:rsidRDefault="0093726A">
            <w:pPr>
              <w:jc w:val="both"/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 xml:space="preserve">2.4.2 Привлечение внешних специалистов и развитие ключевого персонала вуза, рост качества исследовательского и профессорско-преподавательского состава / Повышение международной </w:t>
            </w:r>
            <w:r w:rsidRPr="006952C0">
              <w:rPr>
                <w:sz w:val="28"/>
                <w:szCs w:val="28"/>
              </w:rPr>
              <w:lastRenderedPageBreak/>
              <w:t>публикационной активности сотрудников КФУ. Продвижение КФУ в рейтинге QS по показателю 'Публикации сотрудников' / Стимулирование публикационной активности сотрудников КФУ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26A" w:rsidRPr="006952C0" w:rsidRDefault="0093726A">
            <w:pPr>
              <w:jc w:val="center"/>
              <w:rPr>
                <w:sz w:val="28"/>
                <w:szCs w:val="28"/>
                <w:lang w:val="en-US"/>
              </w:rPr>
            </w:pPr>
            <w:r w:rsidRPr="006952C0">
              <w:rPr>
                <w:sz w:val="28"/>
                <w:szCs w:val="28"/>
              </w:rPr>
              <w:lastRenderedPageBreak/>
              <w:t>01.0</w:t>
            </w:r>
            <w:r w:rsidRPr="006952C0">
              <w:rPr>
                <w:sz w:val="28"/>
                <w:szCs w:val="28"/>
                <w:lang w:val="en-US"/>
              </w:rPr>
              <w:t>7</w:t>
            </w:r>
            <w:r w:rsidRPr="006952C0">
              <w:rPr>
                <w:sz w:val="28"/>
                <w:szCs w:val="28"/>
              </w:rPr>
              <w:t>.1</w:t>
            </w:r>
            <w:r w:rsidRPr="006952C0">
              <w:rPr>
                <w:sz w:val="28"/>
                <w:szCs w:val="28"/>
                <w:lang w:val="en-US"/>
              </w:rPr>
              <w:t>6</w:t>
            </w:r>
            <w:r w:rsidRPr="006952C0">
              <w:rPr>
                <w:sz w:val="28"/>
                <w:szCs w:val="28"/>
              </w:rPr>
              <w:t>-3</w:t>
            </w:r>
            <w:r w:rsidRPr="006952C0">
              <w:rPr>
                <w:sz w:val="28"/>
                <w:szCs w:val="28"/>
                <w:lang w:val="en-US"/>
              </w:rPr>
              <w:t>1</w:t>
            </w:r>
            <w:r w:rsidRPr="006952C0">
              <w:rPr>
                <w:sz w:val="28"/>
                <w:szCs w:val="28"/>
              </w:rPr>
              <w:t>.</w:t>
            </w:r>
            <w:r w:rsidRPr="006952C0">
              <w:rPr>
                <w:sz w:val="28"/>
                <w:szCs w:val="28"/>
                <w:lang w:val="en-US"/>
              </w:rPr>
              <w:t>12</w:t>
            </w:r>
            <w:r w:rsidRPr="006952C0">
              <w:rPr>
                <w:sz w:val="28"/>
                <w:szCs w:val="28"/>
              </w:rPr>
              <w:t>.1</w:t>
            </w:r>
            <w:r w:rsidRPr="006952C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726A" w:rsidRPr="006952C0" w:rsidRDefault="0093726A">
            <w:pPr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t>3 800 000,00</w:t>
            </w:r>
          </w:p>
        </w:tc>
      </w:tr>
    </w:tbl>
    <w:p w:rsidR="0093726A" w:rsidRPr="006952C0" w:rsidRDefault="0093726A">
      <w:pPr>
        <w:rPr>
          <w:b/>
          <w:vanish/>
          <w:sz w:val="28"/>
          <w:szCs w:val="28"/>
        </w:rPr>
      </w:pPr>
    </w:p>
    <w:tbl>
      <w:tblPr>
        <w:tblW w:w="90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874"/>
        <w:gridCol w:w="126"/>
      </w:tblGrid>
      <w:tr w:rsidR="0093726A" w:rsidRPr="006952C0">
        <w:trPr>
          <w:tblCellSpacing w:w="0" w:type="dxa"/>
          <w:jc w:val="center"/>
        </w:trPr>
        <w:tc>
          <w:tcPr>
            <w:tcW w:w="0" w:type="auto"/>
          </w:tcPr>
          <w:p w:rsidR="0093726A" w:rsidRPr="006952C0" w:rsidRDefault="0093726A">
            <w:pPr>
              <w:rPr>
                <w:sz w:val="28"/>
                <w:szCs w:val="28"/>
              </w:rPr>
            </w:pPr>
            <w:r w:rsidRPr="006952C0">
              <w:rPr>
                <w:sz w:val="28"/>
                <w:szCs w:val="28"/>
              </w:rPr>
              <w:br/>
            </w:r>
            <w:r w:rsidRPr="006952C0">
              <w:rPr>
                <w:sz w:val="28"/>
                <w:szCs w:val="28"/>
              </w:rPr>
              <w:br/>
              <w:t xml:space="preserve">Руководитель проекта ______________________________________________ (М.Р. </w:t>
            </w:r>
            <w:proofErr w:type="spellStart"/>
            <w:r w:rsidRPr="006952C0">
              <w:rPr>
                <w:sz w:val="28"/>
                <w:szCs w:val="28"/>
              </w:rPr>
              <w:t>Шарипова</w:t>
            </w:r>
            <w:proofErr w:type="spellEnd"/>
            <w:r w:rsidRPr="006952C0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3726A" w:rsidRPr="006952C0" w:rsidRDefault="0093726A">
            <w:pPr>
              <w:rPr>
                <w:sz w:val="28"/>
                <w:szCs w:val="28"/>
              </w:rPr>
            </w:pPr>
          </w:p>
        </w:tc>
      </w:tr>
    </w:tbl>
    <w:p w:rsidR="0093726A" w:rsidRPr="006952C0" w:rsidRDefault="0093726A"/>
    <w:sectPr w:rsidR="0093726A" w:rsidRPr="006952C0" w:rsidSect="00414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06C"/>
    <w:multiLevelType w:val="hybridMultilevel"/>
    <w:tmpl w:val="438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9F0"/>
    <w:rsid w:val="000B2E30"/>
    <w:rsid w:val="000D4FFB"/>
    <w:rsid w:val="0015372E"/>
    <w:rsid w:val="00212E8C"/>
    <w:rsid w:val="003008A0"/>
    <w:rsid w:val="00334A51"/>
    <w:rsid w:val="0035682B"/>
    <w:rsid w:val="00387718"/>
    <w:rsid w:val="00395BA2"/>
    <w:rsid w:val="00414D0C"/>
    <w:rsid w:val="004151E8"/>
    <w:rsid w:val="004711F5"/>
    <w:rsid w:val="0051431A"/>
    <w:rsid w:val="005727F6"/>
    <w:rsid w:val="006952C0"/>
    <w:rsid w:val="006B4BF7"/>
    <w:rsid w:val="006C4874"/>
    <w:rsid w:val="006F25F4"/>
    <w:rsid w:val="00727658"/>
    <w:rsid w:val="00795D01"/>
    <w:rsid w:val="0089444B"/>
    <w:rsid w:val="0093726A"/>
    <w:rsid w:val="00A43686"/>
    <w:rsid w:val="00AE1A02"/>
    <w:rsid w:val="00B22F0C"/>
    <w:rsid w:val="00BE517E"/>
    <w:rsid w:val="00C719F0"/>
    <w:rsid w:val="00EE6166"/>
    <w:rsid w:val="00FD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414D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2604</Words>
  <Characters>14847</Characters>
  <Application>Microsoft Office Word</Application>
  <DocSecurity>0</DocSecurity>
  <Lines>123</Lines>
  <Paragraphs>34</Paragraphs>
  <ScaleCrop>false</ScaleCrop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 </dc:title>
  <dc:subject/>
  <dc:creator>301В</dc:creator>
  <cp:keywords/>
  <dc:description/>
  <cp:lastModifiedBy>Инна</cp:lastModifiedBy>
  <cp:revision>3</cp:revision>
  <cp:lastPrinted>2015-09-15T11:13:00Z</cp:lastPrinted>
  <dcterms:created xsi:type="dcterms:W3CDTF">2016-07-22T13:43:00Z</dcterms:created>
  <dcterms:modified xsi:type="dcterms:W3CDTF">2016-10-11T10:21:00Z</dcterms:modified>
</cp:coreProperties>
</file>